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943B9" w14:textId="77777777" w:rsidR="00E37D37" w:rsidRDefault="00E37D37" w:rsidP="00AA4FBF">
      <w:pPr>
        <w:pStyle w:val="Heading1"/>
      </w:pPr>
      <w:r>
        <w:t>Housing and Regeneration Contributory Outcomes – Commentary</w:t>
      </w:r>
    </w:p>
    <w:p w14:paraId="5BC7EB18" w14:textId="6ECA7940" w:rsidR="00E37D37" w:rsidRDefault="00E37D37" w:rsidP="00E37D37"/>
    <w:p w14:paraId="690C223A" w14:textId="77777777" w:rsidR="003C20F4" w:rsidRDefault="003C20F4" w:rsidP="00A7128B">
      <w:pPr>
        <w:pStyle w:val="Heading1"/>
      </w:pPr>
      <w:r w:rsidRPr="003C20F4">
        <w:t xml:space="preserve">A </w:t>
      </w:r>
      <w:proofErr w:type="spellStart"/>
      <w:r w:rsidRPr="003C20F4">
        <w:t>Well Functioning</w:t>
      </w:r>
      <w:proofErr w:type="spellEnd"/>
      <w:r w:rsidRPr="003C20F4">
        <w:t xml:space="preserve"> Housing System </w:t>
      </w:r>
    </w:p>
    <w:p w14:paraId="76A5FC32" w14:textId="77777777" w:rsidR="003C20F4" w:rsidRDefault="003C20F4" w:rsidP="00E37D37"/>
    <w:p w14:paraId="17D7AE3D" w14:textId="4CB289C1" w:rsidR="006856AD" w:rsidRDefault="00E37D37" w:rsidP="006856AD">
      <w:r>
        <w:t>[Table 1</w:t>
      </w:r>
      <w:r w:rsidR="009B328E">
        <w:t xml:space="preserve"> – Summary Table on Indicator Measures for a </w:t>
      </w:r>
      <w:proofErr w:type="spellStart"/>
      <w:r w:rsidR="009B328E">
        <w:t>Well Functioning</w:t>
      </w:r>
      <w:proofErr w:type="spellEnd"/>
      <w:r w:rsidR="009B328E">
        <w:t xml:space="preserve"> Housing System</w:t>
      </w:r>
      <w:r>
        <w:t>]</w:t>
      </w:r>
      <w:r w:rsidR="006856AD">
        <w:t xml:space="preserve"> </w:t>
      </w:r>
    </w:p>
    <w:p w14:paraId="004DCFAD" w14:textId="4892A184" w:rsidR="00CA1472" w:rsidRDefault="00CA1472" w:rsidP="00E37D37"/>
    <w:tbl>
      <w:tblPr>
        <w:tblStyle w:val="TableGrid"/>
        <w:tblW w:w="0" w:type="auto"/>
        <w:tblLook w:val="06A0" w:firstRow="1" w:lastRow="0" w:firstColumn="1" w:lastColumn="0" w:noHBand="1" w:noVBand="1"/>
      </w:tblPr>
      <w:tblGrid>
        <w:gridCol w:w="2319"/>
        <w:gridCol w:w="1439"/>
        <w:gridCol w:w="1340"/>
        <w:gridCol w:w="1705"/>
        <w:gridCol w:w="1305"/>
        <w:gridCol w:w="1514"/>
      </w:tblGrid>
      <w:tr w:rsidR="00CA1472" w:rsidRPr="00CA1472" w14:paraId="4842D580" w14:textId="77777777" w:rsidTr="00807E29">
        <w:trPr>
          <w:trHeight w:val="324"/>
        </w:trPr>
        <w:tc>
          <w:tcPr>
            <w:tcW w:w="2319" w:type="dxa"/>
            <w:noWrap/>
            <w:hideMark/>
          </w:tcPr>
          <w:p w14:paraId="3C040820" w14:textId="77777777" w:rsidR="00CA1472" w:rsidRPr="00CA1472" w:rsidRDefault="00CA1472" w:rsidP="00CA1472">
            <w:pPr>
              <w:pStyle w:val="SGTableHeader"/>
            </w:pPr>
            <w:r w:rsidRPr="00CA1472">
              <w:t>Indicator</w:t>
            </w:r>
          </w:p>
        </w:tc>
        <w:tc>
          <w:tcPr>
            <w:tcW w:w="1439" w:type="dxa"/>
            <w:noWrap/>
            <w:hideMark/>
          </w:tcPr>
          <w:p w14:paraId="01B888BF" w14:textId="77777777" w:rsidR="00CA1472" w:rsidRPr="00CA1472" w:rsidRDefault="00CA1472" w:rsidP="00CA1472">
            <w:pPr>
              <w:pStyle w:val="SGTableHeader"/>
            </w:pPr>
            <w:r w:rsidRPr="00CA1472">
              <w:t>Previous Value</w:t>
            </w:r>
          </w:p>
        </w:tc>
        <w:tc>
          <w:tcPr>
            <w:tcW w:w="1340" w:type="dxa"/>
            <w:noWrap/>
            <w:hideMark/>
          </w:tcPr>
          <w:p w14:paraId="1F62C80D" w14:textId="77777777" w:rsidR="00CA1472" w:rsidRPr="00CA1472" w:rsidRDefault="00CA1472" w:rsidP="00CA1472">
            <w:pPr>
              <w:pStyle w:val="SGTableHeader"/>
            </w:pPr>
            <w:r w:rsidRPr="00CA1472">
              <w:t>Latest Value</w:t>
            </w:r>
          </w:p>
        </w:tc>
        <w:tc>
          <w:tcPr>
            <w:tcW w:w="1705" w:type="dxa"/>
            <w:noWrap/>
            <w:hideMark/>
          </w:tcPr>
          <w:p w14:paraId="2BA16B33" w14:textId="77777777" w:rsidR="00CA1472" w:rsidRPr="00CA1472" w:rsidRDefault="00CA1472" w:rsidP="00CA1472">
            <w:pPr>
              <w:pStyle w:val="SGTableHeader"/>
            </w:pPr>
            <w:r w:rsidRPr="00CA1472">
              <w:t>Performance</w:t>
            </w:r>
          </w:p>
        </w:tc>
        <w:tc>
          <w:tcPr>
            <w:tcW w:w="1305" w:type="dxa"/>
            <w:noWrap/>
            <w:hideMark/>
          </w:tcPr>
          <w:p w14:paraId="6A9A5127" w14:textId="77777777" w:rsidR="00CA1472" w:rsidRPr="00CA1472" w:rsidRDefault="00CA1472" w:rsidP="00CA1472">
            <w:pPr>
              <w:pStyle w:val="SGTableHeader"/>
            </w:pPr>
            <w:r w:rsidRPr="00CA1472">
              <w:t>Previous Update</w:t>
            </w:r>
          </w:p>
        </w:tc>
        <w:tc>
          <w:tcPr>
            <w:tcW w:w="1514" w:type="dxa"/>
            <w:noWrap/>
            <w:hideMark/>
          </w:tcPr>
          <w:p w14:paraId="3D2825E7" w14:textId="77777777" w:rsidR="00CA1472" w:rsidRPr="00CA1472" w:rsidRDefault="00CA1472" w:rsidP="00CA1472">
            <w:pPr>
              <w:pStyle w:val="SGTableHeader"/>
            </w:pPr>
            <w:r w:rsidRPr="00CA1472">
              <w:t>Latest Update</w:t>
            </w:r>
          </w:p>
        </w:tc>
      </w:tr>
      <w:tr w:rsidR="00CA1472" w:rsidRPr="00CA1472" w14:paraId="05848A16" w14:textId="77777777" w:rsidTr="00807E29">
        <w:trPr>
          <w:trHeight w:val="696"/>
        </w:trPr>
        <w:tc>
          <w:tcPr>
            <w:tcW w:w="2319" w:type="dxa"/>
            <w:hideMark/>
          </w:tcPr>
          <w:p w14:paraId="47056D63" w14:textId="5471067E" w:rsidR="00CA1472" w:rsidRPr="009B328E" w:rsidRDefault="00CA1472" w:rsidP="00CA1472">
            <w:pPr>
              <w:pStyle w:val="SGTableText"/>
              <w:rPr>
                <w:szCs w:val="22"/>
              </w:rPr>
            </w:pPr>
            <w:r w:rsidRPr="00407994">
              <w:rPr>
                <w:szCs w:val="22"/>
              </w:rPr>
              <w:t>Number of occupied dwellings in Scotland</w:t>
            </w:r>
          </w:p>
        </w:tc>
        <w:tc>
          <w:tcPr>
            <w:tcW w:w="1439" w:type="dxa"/>
            <w:hideMark/>
          </w:tcPr>
          <w:p w14:paraId="3642394B" w14:textId="77777777" w:rsidR="00CA1472" w:rsidRPr="00CA1472" w:rsidRDefault="00CA1472" w:rsidP="00CA1472">
            <w:pPr>
              <w:pStyle w:val="SGTableText"/>
            </w:pPr>
            <w:r w:rsidRPr="00CA1472">
              <w:t>2,538,755</w:t>
            </w:r>
          </w:p>
        </w:tc>
        <w:tc>
          <w:tcPr>
            <w:tcW w:w="1340" w:type="dxa"/>
            <w:hideMark/>
          </w:tcPr>
          <w:p w14:paraId="259CD348" w14:textId="77777777" w:rsidR="00CA1472" w:rsidRPr="00CA1472" w:rsidRDefault="00CA1472" w:rsidP="00CA1472">
            <w:pPr>
              <w:pStyle w:val="SGTableText"/>
            </w:pPr>
            <w:r w:rsidRPr="00CA1472">
              <w:t>2,562,668</w:t>
            </w:r>
          </w:p>
        </w:tc>
        <w:tc>
          <w:tcPr>
            <w:tcW w:w="1705" w:type="dxa"/>
            <w:hideMark/>
          </w:tcPr>
          <w:p w14:paraId="0C622D41" w14:textId="02E530FC" w:rsidR="00CA1472" w:rsidRPr="0085584F" w:rsidRDefault="000F728E" w:rsidP="00CA1472">
            <w:pPr>
              <w:pStyle w:val="SGTableText"/>
              <w:rPr>
                <w:rFonts w:ascii="Webdings" w:hAnsi="Webdings"/>
                <w:b/>
                <w:bCs/>
                <w:sz w:val="40"/>
                <w:szCs w:val="36"/>
              </w:rPr>
            </w:pPr>
            <w:r>
              <w:t>Improving</w:t>
            </w:r>
          </w:p>
        </w:tc>
        <w:tc>
          <w:tcPr>
            <w:tcW w:w="1305" w:type="dxa"/>
            <w:hideMark/>
          </w:tcPr>
          <w:p w14:paraId="2D6EBDA7" w14:textId="77777777" w:rsidR="00CA1472" w:rsidRPr="00CA1472" w:rsidRDefault="00CA1472" w:rsidP="00CA1472">
            <w:pPr>
              <w:pStyle w:val="SGTableText"/>
            </w:pPr>
            <w:proofErr w:type="spellStart"/>
            <w:r w:rsidRPr="00CA1472">
              <w:t>Sep'20</w:t>
            </w:r>
            <w:proofErr w:type="spellEnd"/>
          </w:p>
        </w:tc>
        <w:tc>
          <w:tcPr>
            <w:tcW w:w="1514" w:type="dxa"/>
            <w:hideMark/>
          </w:tcPr>
          <w:p w14:paraId="0C6E7B80" w14:textId="77777777" w:rsidR="00CA1472" w:rsidRPr="00CA1472" w:rsidRDefault="00CA1472" w:rsidP="00CA1472">
            <w:pPr>
              <w:pStyle w:val="SGTableText"/>
            </w:pPr>
            <w:proofErr w:type="spellStart"/>
            <w:r w:rsidRPr="00CA1472">
              <w:t>Sep'21</w:t>
            </w:r>
            <w:proofErr w:type="spellEnd"/>
          </w:p>
        </w:tc>
      </w:tr>
      <w:tr w:rsidR="00CA1472" w:rsidRPr="00CA1472" w14:paraId="43EB12FD" w14:textId="77777777" w:rsidTr="00807E29">
        <w:trPr>
          <w:trHeight w:val="696"/>
        </w:trPr>
        <w:tc>
          <w:tcPr>
            <w:tcW w:w="2319" w:type="dxa"/>
            <w:hideMark/>
          </w:tcPr>
          <w:p w14:paraId="48B22464" w14:textId="668CFBB1" w:rsidR="00CA1472" w:rsidRPr="009B328E" w:rsidRDefault="00CA1472" w:rsidP="00CA1472">
            <w:pPr>
              <w:pStyle w:val="SGTableText"/>
              <w:rPr>
                <w:szCs w:val="22"/>
              </w:rPr>
            </w:pPr>
            <w:r w:rsidRPr="00407994">
              <w:rPr>
                <w:szCs w:val="22"/>
              </w:rPr>
              <w:t>Gap in % Satisfied with house between lowest 3 deprivation deciles and the Average</w:t>
            </w:r>
          </w:p>
        </w:tc>
        <w:tc>
          <w:tcPr>
            <w:tcW w:w="1439" w:type="dxa"/>
            <w:hideMark/>
          </w:tcPr>
          <w:p w14:paraId="752AE538" w14:textId="77777777" w:rsidR="00CA1472" w:rsidRPr="00CA1472" w:rsidRDefault="00CA1472" w:rsidP="00CA1472">
            <w:pPr>
              <w:pStyle w:val="SGTableText"/>
            </w:pPr>
            <w:r w:rsidRPr="00CA1472">
              <w:t>5.6%</w:t>
            </w:r>
          </w:p>
        </w:tc>
        <w:tc>
          <w:tcPr>
            <w:tcW w:w="1340" w:type="dxa"/>
            <w:hideMark/>
          </w:tcPr>
          <w:p w14:paraId="09A88DD5" w14:textId="77777777" w:rsidR="00CA1472" w:rsidRPr="00CA1472" w:rsidRDefault="00CA1472" w:rsidP="00CA1472">
            <w:pPr>
              <w:pStyle w:val="SGTableText"/>
            </w:pPr>
            <w:r w:rsidRPr="00CA1472">
              <w:t>5.1%</w:t>
            </w:r>
          </w:p>
        </w:tc>
        <w:tc>
          <w:tcPr>
            <w:tcW w:w="1705" w:type="dxa"/>
            <w:hideMark/>
          </w:tcPr>
          <w:p w14:paraId="2255DADB" w14:textId="2D94D591" w:rsidR="00CA1472" w:rsidRPr="0085584F" w:rsidRDefault="000F728E" w:rsidP="00CA1472">
            <w:pPr>
              <w:pStyle w:val="SGTableText"/>
              <w:rPr>
                <w:rFonts w:ascii="Webdings" w:hAnsi="Webdings"/>
                <w:sz w:val="40"/>
                <w:szCs w:val="36"/>
              </w:rPr>
            </w:pPr>
            <w:r>
              <w:t>Maintaining</w:t>
            </w:r>
          </w:p>
        </w:tc>
        <w:tc>
          <w:tcPr>
            <w:tcW w:w="1305" w:type="dxa"/>
            <w:hideMark/>
          </w:tcPr>
          <w:p w14:paraId="52B9B90E" w14:textId="77777777" w:rsidR="00CA1472" w:rsidRPr="00CA1472" w:rsidRDefault="00CA1472" w:rsidP="00CA1472">
            <w:pPr>
              <w:pStyle w:val="SGTableText"/>
            </w:pPr>
            <w:r w:rsidRPr="00CA1472">
              <w:t>2018</w:t>
            </w:r>
          </w:p>
        </w:tc>
        <w:tc>
          <w:tcPr>
            <w:tcW w:w="1514" w:type="dxa"/>
            <w:hideMark/>
          </w:tcPr>
          <w:p w14:paraId="39FD4273" w14:textId="77777777" w:rsidR="00CA1472" w:rsidRPr="00CA1472" w:rsidRDefault="00CA1472" w:rsidP="00CA1472">
            <w:pPr>
              <w:pStyle w:val="SGTableText"/>
            </w:pPr>
            <w:r w:rsidRPr="00CA1472">
              <w:t>2019</w:t>
            </w:r>
          </w:p>
        </w:tc>
      </w:tr>
      <w:tr w:rsidR="00CA1472" w:rsidRPr="00CA1472" w14:paraId="44CB9CE8" w14:textId="77777777" w:rsidTr="00807E29">
        <w:trPr>
          <w:trHeight w:val="696"/>
        </w:trPr>
        <w:tc>
          <w:tcPr>
            <w:tcW w:w="2319" w:type="dxa"/>
            <w:hideMark/>
          </w:tcPr>
          <w:p w14:paraId="2C444C41" w14:textId="33DBD8FF" w:rsidR="00CA1472" w:rsidRPr="009B328E" w:rsidRDefault="00CA1472" w:rsidP="00CA1472">
            <w:pPr>
              <w:pStyle w:val="SGTableText"/>
              <w:rPr>
                <w:szCs w:val="22"/>
              </w:rPr>
            </w:pPr>
            <w:r w:rsidRPr="00407994">
              <w:rPr>
                <w:szCs w:val="22"/>
              </w:rPr>
              <w:t>Number of Loans for House Purchase</w:t>
            </w:r>
          </w:p>
        </w:tc>
        <w:tc>
          <w:tcPr>
            <w:tcW w:w="1439" w:type="dxa"/>
            <w:hideMark/>
          </w:tcPr>
          <w:p w14:paraId="532E1302" w14:textId="41FFCA4F" w:rsidR="00CA1472" w:rsidRPr="00CA1472" w:rsidRDefault="002918EA" w:rsidP="00CA1472">
            <w:pPr>
              <w:pStyle w:val="SGTableText"/>
            </w:pPr>
            <w:r>
              <w:t>55,774</w:t>
            </w:r>
          </w:p>
        </w:tc>
        <w:tc>
          <w:tcPr>
            <w:tcW w:w="1340" w:type="dxa"/>
            <w:hideMark/>
          </w:tcPr>
          <w:p w14:paraId="299C12D0" w14:textId="7C130C5D" w:rsidR="00CA1472" w:rsidRPr="00CA1472" w:rsidRDefault="002918EA" w:rsidP="00CA1472">
            <w:pPr>
              <w:pStyle w:val="SGTableText"/>
            </w:pPr>
            <w:r>
              <w:t>69,779</w:t>
            </w:r>
          </w:p>
        </w:tc>
        <w:tc>
          <w:tcPr>
            <w:tcW w:w="1705" w:type="dxa"/>
            <w:hideMark/>
          </w:tcPr>
          <w:p w14:paraId="638A7C4B" w14:textId="41D1E0FD" w:rsidR="00CA1472" w:rsidRPr="0085584F" w:rsidRDefault="000F728E" w:rsidP="00CA1472">
            <w:pPr>
              <w:pStyle w:val="SGTableText"/>
              <w:rPr>
                <w:rFonts w:ascii="Webdings" w:hAnsi="Webdings"/>
                <w:b/>
                <w:bCs/>
                <w:sz w:val="40"/>
                <w:szCs w:val="36"/>
              </w:rPr>
            </w:pPr>
            <w:r>
              <w:t>Improving</w:t>
            </w:r>
          </w:p>
        </w:tc>
        <w:tc>
          <w:tcPr>
            <w:tcW w:w="1305" w:type="dxa"/>
            <w:hideMark/>
          </w:tcPr>
          <w:p w14:paraId="52CF3511" w14:textId="77777777" w:rsidR="00CA1472" w:rsidRPr="00CA1472" w:rsidRDefault="00CA1472" w:rsidP="00CA1472">
            <w:pPr>
              <w:pStyle w:val="SGTableText"/>
            </w:pPr>
            <w:r w:rsidRPr="00CA1472">
              <w:t>2020</w:t>
            </w:r>
          </w:p>
        </w:tc>
        <w:tc>
          <w:tcPr>
            <w:tcW w:w="1514" w:type="dxa"/>
            <w:hideMark/>
          </w:tcPr>
          <w:p w14:paraId="7233B5A0" w14:textId="77777777" w:rsidR="00CA1472" w:rsidRPr="00CA1472" w:rsidRDefault="00CA1472" w:rsidP="00CA1472">
            <w:pPr>
              <w:pStyle w:val="SGTableText"/>
            </w:pPr>
            <w:r w:rsidRPr="00CA1472">
              <w:t>2021</w:t>
            </w:r>
          </w:p>
        </w:tc>
      </w:tr>
      <w:tr w:rsidR="00CA1472" w:rsidRPr="00CA1472" w14:paraId="6BADF8AB" w14:textId="77777777" w:rsidTr="00807E29">
        <w:trPr>
          <w:trHeight w:val="696"/>
        </w:trPr>
        <w:tc>
          <w:tcPr>
            <w:tcW w:w="2319" w:type="dxa"/>
            <w:hideMark/>
          </w:tcPr>
          <w:p w14:paraId="524F4BC5" w14:textId="3C3243BF" w:rsidR="00CA1472" w:rsidRPr="009B328E" w:rsidRDefault="00CA1472" w:rsidP="00CA1472">
            <w:pPr>
              <w:pStyle w:val="SGTableText"/>
              <w:rPr>
                <w:szCs w:val="22"/>
              </w:rPr>
            </w:pPr>
            <w:r w:rsidRPr="00407994">
              <w:rPr>
                <w:szCs w:val="22"/>
              </w:rPr>
              <w:t>Ratio of housing costs to Income</w:t>
            </w:r>
          </w:p>
        </w:tc>
        <w:tc>
          <w:tcPr>
            <w:tcW w:w="1439" w:type="dxa"/>
            <w:hideMark/>
          </w:tcPr>
          <w:p w14:paraId="471A9617" w14:textId="26BCD1A7" w:rsidR="00CA1472" w:rsidRPr="00CA1472" w:rsidRDefault="00502C2E" w:rsidP="00CA1472">
            <w:pPr>
              <w:pStyle w:val="SGTableText"/>
            </w:pPr>
            <w:r>
              <w:t>7.8%</w:t>
            </w:r>
          </w:p>
        </w:tc>
        <w:tc>
          <w:tcPr>
            <w:tcW w:w="1340" w:type="dxa"/>
            <w:hideMark/>
          </w:tcPr>
          <w:p w14:paraId="61FCBBCE" w14:textId="56176CC0" w:rsidR="00CA1472" w:rsidRPr="00CA1472" w:rsidRDefault="00502C2E" w:rsidP="00CA1472">
            <w:pPr>
              <w:pStyle w:val="SGTableText"/>
            </w:pPr>
            <w:r>
              <w:t>7.5%</w:t>
            </w:r>
          </w:p>
        </w:tc>
        <w:tc>
          <w:tcPr>
            <w:tcW w:w="1705" w:type="dxa"/>
            <w:hideMark/>
          </w:tcPr>
          <w:p w14:paraId="37BDCAAB" w14:textId="2BB11511" w:rsidR="00CA1472" w:rsidRPr="0085584F" w:rsidRDefault="000F728E" w:rsidP="00CA1472">
            <w:pPr>
              <w:pStyle w:val="SGTableText"/>
              <w:rPr>
                <w:rFonts w:ascii="Webdings" w:hAnsi="Webdings"/>
                <w:sz w:val="40"/>
                <w:szCs w:val="36"/>
              </w:rPr>
            </w:pPr>
            <w:r>
              <w:t>Maintaining</w:t>
            </w:r>
          </w:p>
        </w:tc>
        <w:tc>
          <w:tcPr>
            <w:tcW w:w="1305" w:type="dxa"/>
            <w:hideMark/>
          </w:tcPr>
          <w:p w14:paraId="0714CD21" w14:textId="77777777" w:rsidR="00CA1472" w:rsidRPr="00CA1472" w:rsidRDefault="00CA1472" w:rsidP="00CA1472">
            <w:pPr>
              <w:pStyle w:val="SGTableText"/>
            </w:pPr>
            <w:r w:rsidRPr="00CA1472">
              <w:t>2018/19</w:t>
            </w:r>
          </w:p>
        </w:tc>
        <w:tc>
          <w:tcPr>
            <w:tcW w:w="1514" w:type="dxa"/>
            <w:hideMark/>
          </w:tcPr>
          <w:p w14:paraId="440E17A5" w14:textId="77777777" w:rsidR="00CA1472" w:rsidRPr="00CA1472" w:rsidRDefault="00CA1472" w:rsidP="00CA1472">
            <w:pPr>
              <w:pStyle w:val="SGTableText"/>
            </w:pPr>
            <w:r w:rsidRPr="00CA1472">
              <w:t>2019/20</w:t>
            </w:r>
          </w:p>
        </w:tc>
      </w:tr>
      <w:tr w:rsidR="00CA1472" w:rsidRPr="00CA1472" w14:paraId="0CC62B7A" w14:textId="77777777" w:rsidTr="00807E29">
        <w:trPr>
          <w:trHeight w:val="585"/>
        </w:trPr>
        <w:tc>
          <w:tcPr>
            <w:tcW w:w="2319" w:type="dxa"/>
            <w:hideMark/>
          </w:tcPr>
          <w:p w14:paraId="083364B4" w14:textId="77777777" w:rsidR="00CA1472" w:rsidRDefault="00CA1472" w:rsidP="00CA1472">
            <w:pPr>
              <w:pStyle w:val="SGTableText"/>
              <w:rPr>
                <w:szCs w:val="22"/>
              </w:rPr>
            </w:pPr>
            <w:r w:rsidRPr="00407994">
              <w:rPr>
                <w:szCs w:val="22"/>
              </w:rPr>
              <w:t>Increase the number of new homes</w:t>
            </w:r>
          </w:p>
          <w:p w14:paraId="0B0EBE48" w14:textId="77777777" w:rsidR="00C77572" w:rsidRDefault="00C77572" w:rsidP="00CA1472">
            <w:pPr>
              <w:pStyle w:val="SGTableText"/>
              <w:rPr>
                <w:szCs w:val="22"/>
              </w:rPr>
            </w:pPr>
          </w:p>
          <w:p w14:paraId="0C29AF43" w14:textId="0E5A6795" w:rsidR="00C77572" w:rsidRPr="009B328E" w:rsidRDefault="00C77572" w:rsidP="00CA1472">
            <w:pPr>
              <w:pStyle w:val="SGTableText"/>
              <w:rPr>
                <w:szCs w:val="22"/>
              </w:rPr>
            </w:pPr>
            <w:r>
              <w:rPr>
                <w:szCs w:val="22"/>
              </w:rPr>
              <w:t>(*) excluding conversions in 2021/22</w:t>
            </w:r>
          </w:p>
        </w:tc>
        <w:tc>
          <w:tcPr>
            <w:tcW w:w="1439" w:type="dxa"/>
            <w:hideMark/>
          </w:tcPr>
          <w:p w14:paraId="66E7546F" w14:textId="5BB3F5BD" w:rsidR="00CA1472" w:rsidRDefault="00CA1472" w:rsidP="00CA1472">
            <w:pPr>
              <w:pStyle w:val="SGTableText"/>
            </w:pPr>
          </w:p>
          <w:p w14:paraId="363549A0" w14:textId="39D12F41" w:rsidR="00C77572" w:rsidRPr="00CA1472" w:rsidRDefault="00C77572" w:rsidP="00CA1472">
            <w:pPr>
              <w:pStyle w:val="SGTableText"/>
            </w:pPr>
            <w:r>
              <w:t>15,360</w:t>
            </w:r>
          </w:p>
        </w:tc>
        <w:tc>
          <w:tcPr>
            <w:tcW w:w="1340" w:type="dxa"/>
            <w:hideMark/>
          </w:tcPr>
          <w:p w14:paraId="27B16BF9" w14:textId="21E73465" w:rsidR="00CA1472" w:rsidRDefault="00CA1472" w:rsidP="00CA1472">
            <w:pPr>
              <w:pStyle w:val="SGTableText"/>
            </w:pPr>
          </w:p>
          <w:p w14:paraId="35564004" w14:textId="6CB2CB72" w:rsidR="00C77572" w:rsidRPr="00CA1472" w:rsidRDefault="00C77572" w:rsidP="00CA1472">
            <w:pPr>
              <w:pStyle w:val="SGTableText"/>
            </w:pPr>
            <w:r>
              <w:t>20,852(*)</w:t>
            </w:r>
          </w:p>
        </w:tc>
        <w:tc>
          <w:tcPr>
            <w:tcW w:w="1705" w:type="dxa"/>
            <w:hideMark/>
          </w:tcPr>
          <w:p w14:paraId="633CD483" w14:textId="3DD1CD46" w:rsidR="00CA1472" w:rsidRDefault="00CA1472" w:rsidP="00CA1472">
            <w:pPr>
              <w:pStyle w:val="SGTableText"/>
            </w:pPr>
          </w:p>
          <w:p w14:paraId="48E29878" w14:textId="1E2E34F7" w:rsidR="00C77572" w:rsidRPr="0085584F" w:rsidRDefault="00C77572" w:rsidP="00CA1472">
            <w:pPr>
              <w:pStyle w:val="SGTableText"/>
              <w:rPr>
                <w:rFonts w:ascii="Webdings" w:hAnsi="Webdings"/>
                <w:b/>
                <w:bCs/>
                <w:sz w:val="40"/>
                <w:szCs w:val="36"/>
              </w:rPr>
            </w:pPr>
            <w:r>
              <w:t>Improving</w:t>
            </w:r>
          </w:p>
        </w:tc>
        <w:tc>
          <w:tcPr>
            <w:tcW w:w="1305" w:type="dxa"/>
            <w:hideMark/>
          </w:tcPr>
          <w:p w14:paraId="38000438" w14:textId="34BCD451" w:rsidR="00CA1472" w:rsidRPr="00CA1472" w:rsidRDefault="00C77572" w:rsidP="00CA1472">
            <w:pPr>
              <w:pStyle w:val="SGTableText"/>
            </w:pPr>
            <w:r>
              <w:t>2020/21</w:t>
            </w:r>
          </w:p>
        </w:tc>
        <w:tc>
          <w:tcPr>
            <w:tcW w:w="1514" w:type="dxa"/>
            <w:hideMark/>
          </w:tcPr>
          <w:p w14:paraId="73AE9CE6" w14:textId="4B29F1C1" w:rsidR="00CA1472" w:rsidRPr="00CA1472" w:rsidRDefault="00C77572" w:rsidP="00CA1472">
            <w:pPr>
              <w:pStyle w:val="SGTableText"/>
            </w:pPr>
            <w:r>
              <w:t>2021/22</w:t>
            </w:r>
          </w:p>
        </w:tc>
      </w:tr>
      <w:tr w:rsidR="0085584F" w:rsidRPr="00CA1472" w14:paraId="2AFE6987" w14:textId="77777777" w:rsidTr="00807E29">
        <w:trPr>
          <w:trHeight w:val="585"/>
        </w:trPr>
        <w:tc>
          <w:tcPr>
            <w:tcW w:w="2319" w:type="dxa"/>
            <w:hideMark/>
          </w:tcPr>
          <w:p w14:paraId="297EADFB" w14:textId="50608F50" w:rsidR="0085584F" w:rsidRPr="009B328E" w:rsidRDefault="0085584F" w:rsidP="0085584F">
            <w:pPr>
              <w:pStyle w:val="SGTableText"/>
              <w:rPr>
                <w:szCs w:val="22"/>
              </w:rPr>
            </w:pPr>
            <w:r w:rsidRPr="00407994">
              <w:rPr>
                <w:szCs w:val="22"/>
              </w:rPr>
              <w:t>Effective Housing Land Supply - Number of Housing Units</w:t>
            </w:r>
          </w:p>
        </w:tc>
        <w:tc>
          <w:tcPr>
            <w:tcW w:w="1439" w:type="dxa"/>
            <w:hideMark/>
          </w:tcPr>
          <w:p w14:paraId="7BE534AC" w14:textId="77777777" w:rsidR="0085584F" w:rsidRPr="00CA1472" w:rsidRDefault="0085584F" w:rsidP="0085584F">
            <w:pPr>
              <w:pStyle w:val="SGTableText"/>
            </w:pPr>
            <w:r w:rsidRPr="00CA1472">
              <w:t>N/A</w:t>
            </w:r>
          </w:p>
        </w:tc>
        <w:tc>
          <w:tcPr>
            <w:tcW w:w="1340" w:type="dxa"/>
            <w:hideMark/>
          </w:tcPr>
          <w:p w14:paraId="2322970F" w14:textId="77777777" w:rsidR="0085584F" w:rsidRPr="00CA1472" w:rsidRDefault="0085584F" w:rsidP="0085584F">
            <w:pPr>
              <w:pStyle w:val="SGTableText"/>
            </w:pPr>
            <w:r w:rsidRPr="00CA1472">
              <w:t>N/A</w:t>
            </w:r>
          </w:p>
        </w:tc>
        <w:tc>
          <w:tcPr>
            <w:tcW w:w="1705" w:type="dxa"/>
            <w:hideMark/>
          </w:tcPr>
          <w:p w14:paraId="0109D592" w14:textId="504CB031" w:rsidR="0085584F" w:rsidRPr="0085584F" w:rsidRDefault="0085584F" w:rsidP="0085584F">
            <w:pPr>
              <w:pStyle w:val="SGTableText"/>
              <w:rPr>
                <w:rFonts w:ascii="Webdings" w:hAnsi="Webdings"/>
              </w:rPr>
            </w:pPr>
            <w:r w:rsidRPr="00CA1472">
              <w:t>N/A</w:t>
            </w:r>
          </w:p>
        </w:tc>
        <w:tc>
          <w:tcPr>
            <w:tcW w:w="1305" w:type="dxa"/>
            <w:hideMark/>
          </w:tcPr>
          <w:p w14:paraId="71530193" w14:textId="77777777" w:rsidR="0085584F" w:rsidRPr="00CA1472" w:rsidRDefault="0085584F" w:rsidP="0085584F">
            <w:pPr>
              <w:pStyle w:val="SGTableText"/>
            </w:pPr>
            <w:r w:rsidRPr="00CA1472">
              <w:t>N/A</w:t>
            </w:r>
          </w:p>
        </w:tc>
        <w:tc>
          <w:tcPr>
            <w:tcW w:w="1514" w:type="dxa"/>
            <w:hideMark/>
          </w:tcPr>
          <w:p w14:paraId="187065CF" w14:textId="77777777" w:rsidR="0085584F" w:rsidRPr="00CA1472" w:rsidRDefault="0085584F" w:rsidP="0085584F">
            <w:pPr>
              <w:pStyle w:val="SGTableText"/>
            </w:pPr>
            <w:r w:rsidRPr="00CA1472">
              <w:t>N/A</w:t>
            </w:r>
          </w:p>
        </w:tc>
      </w:tr>
      <w:tr w:rsidR="0085584F" w:rsidRPr="00CA1472" w14:paraId="5F6CB91E" w14:textId="77777777" w:rsidTr="00807E29">
        <w:trPr>
          <w:trHeight w:val="696"/>
        </w:trPr>
        <w:tc>
          <w:tcPr>
            <w:tcW w:w="2319" w:type="dxa"/>
            <w:hideMark/>
          </w:tcPr>
          <w:p w14:paraId="7D2323C6" w14:textId="3C507294" w:rsidR="0085584F" w:rsidRPr="009B328E" w:rsidRDefault="0085584F" w:rsidP="0085584F">
            <w:pPr>
              <w:pStyle w:val="SGTableText"/>
              <w:rPr>
                <w:szCs w:val="22"/>
              </w:rPr>
            </w:pPr>
            <w:r w:rsidRPr="00407994">
              <w:rPr>
                <w:szCs w:val="22"/>
              </w:rPr>
              <w:t>Strength of Construction (</w:t>
            </w:r>
            <w:proofErr w:type="spellStart"/>
            <w:r w:rsidRPr="00407994">
              <w:rPr>
                <w:szCs w:val="22"/>
              </w:rPr>
              <w:t>GVA</w:t>
            </w:r>
            <w:proofErr w:type="spellEnd"/>
            <w:r w:rsidRPr="00407994">
              <w:rPr>
                <w:szCs w:val="22"/>
              </w:rPr>
              <w:t>)</w:t>
            </w:r>
          </w:p>
        </w:tc>
        <w:tc>
          <w:tcPr>
            <w:tcW w:w="1439" w:type="dxa"/>
            <w:hideMark/>
          </w:tcPr>
          <w:p w14:paraId="48206AED" w14:textId="77777777" w:rsidR="0085584F" w:rsidRPr="00CA1472" w:rsidRDefault="0085584F" w:rsidP="0085584F">
            <w:pPr>
              <w:pStyle w:val="SGTableText"/>
            </w:pPr>
            <w:r w:rsidRPr="00CA1472">
              <w:t>75.3</w:t>
            </w:r>
          </w:p>
        </w:tc>
        <w:tc>
          <w:tcPr>
            <w:tcW w:w="1340" w:type="dxa"/>
            <w:hideMark/>
          </w:tcPr>
          <w:p w14:paraId="1EB2D3A7" w14:textId="77777777" w:rsidR="0085584F" w:rsidRPr="00CA1472" w:rsidRDefault="0085584F" w:rsidP="0085584F">
            <w:pPr>
              <w:pStyle w:val="SGTableText"/>
            </w:pPr>
            <w:r w:rsidRPr="00CA1472">
              <w:t>86.9</w:t>
            </w:r>
          </w:p>
        </w:tc>
        <w:tc>
          <w:tcPr>
            <w:tcW w:w="1705" w:type="dxa"/>
            <w:hideMark/>
          </w:tcPr>
          <w:p w14:paraId="4D6E6111" w14:textId="69A54C0D" w:rsidR="0085584F" w:rsidRPr="0085584F" w:rsidRDefault="000F728E" w:rsidP="0085584F">
            <w:pPr>
              <w:pStyle w:val="SGTableText"/>
              <w:rPr>
                <w:rFonts w:ascii="Webdings" w:hAnsi="Webdings"/>
                <w:b/>
                <w:bCs/>
                <w:sz w:val="40"/>
                <w:szCs w:val="36"/>
              </w:rPr>
            </w:pPr>
            <w:r>
              <w:t>Improving</w:t>
            </w:r>
          </w:p>
        </w:tc>
        <w:tc>
          <w:tcPr>
            <w:tcW w:w="1305" w:type="dxa"/>
            <w:hideMark/>
          </w:tcPr>
          <w:p w14:paraId="1E8EBA3F" w14:textId="77777777" w:rsidR="0085584F" w:rsidRPr="00CA1472" w:rsidRDefault="0085584F" w:rsidP="0085584F">
            <w:pPr>
              <w:pStyle w:val="SGTableText"/>
            </w:pPr>
            <w:r w:rsidRPr="00CA1472">
              <w:t>2020</w:t>
            </w:r>
          </w:p>
        </w:tc>
        <w:tc>
          <w:tcPr>
            <w:tcW w:w="1514" w:type="dxa"/>
            <w:hideMark/>
          </w:tcPr>
          <w:p w14:paraId="648BBA08" w14:textId="77777777" w:rsidR="0085584F" w:rsidRPr="00CA1472" w:rsidRDefault="0085584F" w:rsidP="0085584F">
            <w:pPr>
              <w:pStyle w:val="SGTableText"/>
            </w:pPr>
            <w:r w:rsidRPr="00CA1472">
              <w:t>2021</w:t>
            </w:r>
          </w:p>
        </w:tc>
      </w:tr>
    </w:tbl>
    <w:p w14:paraId="6063F6C3" w14:textId="77777777" w:rsidR="00E37D37" w:rsidRDefault="00E37D37" w:rsidP="00E37D37"/>
    <w:p w14:paraId="5318D9B6" w14:textId="77777777" w:rsidR="001A32C6" w:rsidRDefault="001A32C6">
      <w:pPr>
        <w:tabs>
          <w:tab w:val="clear" w:pos="720"/>
          <w:tab w:val="clear" w:pos="1440"/>
          <w:tab w:val="clear" w:pos="2160"/>
          <w:tab w:val="clear" w:pos="2880"/>
          <w:tab w:val="clear" w:pos="4680"/>
          <w:tab w:val="clear" w:pos="5400"/>
          <w:tab w:val="clear" w:pos="9000"/>
        </w:tabs>
        <w:spacing w:line="240" w:lineRule="auto"/>
        <w:rPr>
          <w:rFonts w:eastAsia="Times New Roman"/>
          <w:b/>
          <w:sz w:val="30"/>
          <w:lang w:val="en-GB"/>
        </w:rPr>
      </w:pPr>
      <w:r>
        <w:br w:type="page"/>
      </w:r>
    </w:p>
    <w:p w14:paraId="75FE90AC" w14:textId="2287E996" w:rsidR="00E37D37" w:rsidRDefault="00E37D37" w:rsidP="00AA4FBF">
      <w:pPr>
        <w:pStyle w:val="Heading2"/>
      </w:pPr>
      <w:r>
        <w:lastRenderedPageBreak/>
        <w:t>Availability and Choice</w:t>
      </w:r>
    </w:p>
    <w:p w14:paraId="3B101AE1" w14:textId="5BC0ABE2" w:rsidR="00E37D37" w:rsidRDefault="00E37D37" w:rsidP="0066111E">
      <w:pPr>
        <w:pStyle w:val="Paragraph"/>
      </w:pPr>
      <w:r>
        <w:t>[Chart 1</w:t>
      </w:r>
      <w:r w:rsidR="009B328E">
        <w:t xml:space="preserve"> – Number of Occupied Dwellings in Scotland</w:t>
      </w:r>
      <w:r w:rsidR="002918EA">
        <w:t xml:space="preserve"> (Source: </w:t>
      </w:r>
      <w:r w:rsidR="002918EA" w:rsidRPr="002918EA">
        <w:t>National Records for Scotland - Household Estimates</w:t>
      </w:r>
      <w:r w:rsidR="002918EA">
        <w:t>)</w:t>
      </w:r>
      <w:r>
        <w:t>]</w:t>
      </w:r>
    </w:p>
    <w:p w14:paraId="4BB9BD3F" w14:textId="7EACA4E9" w:rsidR="00DE3974" w:rsidRDefault="00967CF1" w:rsidP="0066111E">
      <w:pPr>
        <w:pStyle w:val="Paragraph"/>
      </w:pPr>
      <w:r>
        <w:rPr>
          <w:lang w:eastAsia="en-GB"/>
        </w:rPr>
        <w:drawing>
          <wp:inline distT="0" distB="0" distL="0" distR="0" wp14:anchorId="403F7AF3" wp14:editId="0CD440FB">
            <wp:extent cx="6085539" cy="172339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6085539" cy="1723390"/>
                    </a:xfrm>
                    <a:prstGeom prst="rect">
                      <a:avLst/>
                    </a:prstGeom>
                  </pic:spPr>
                </pic:pic>
              </a:graphicData>
            </a:graphic>
          </wp:inline>
        </w:drawing>
      </w:r>
    </w:p>
    <w:p w14:paraId="7ECBF76A" w14:textId="59C2BC29" w:rsidR="00E37D37" w:rsidRDefault="00E37D37" w:rsidP="0066111E">
      <w:pPr>
        <w:pStyle w:val="Paragraph"/>
      </w:pPr>
      <w:r>
        <w:t xml:space="preserve">Over the past </w:t>
      </w:r>
      <w:r w:rsidR="00685AC9">
        <w:t xml:space="preserve">14 </w:t>
      </w:r>
      <w:r>
        <w:t xml:space="preserve">years the number of occupied dwellings has increased by </w:t>
      </w:r>
      <w:r w:rsidR="00685AC9">
        <w:t>220,677</w:t>
      </w:r>
      <w:r>
        <w:t xml:space="preserve"> (</w:t>
      </w:r>
      <w:r w:rsidR="009B328E">
        <w:t>9.4</w:t>
      </w:r>
      <w:r>
        <w:t>%) from 2.342 to 2.</w:t>
      </w:r>
      <w:r w:rsidR="00685AC9">
        <w:t xml:space="preserve">563 </w:t>
      </w:r>
      <w:r>
        <w:t xml:space="preserve">million. </w:t>
      </w:r>
    </w:p>
    <w:p w14:paraId="2B6738CB" w14:textId="6603AA7B" w:rsidR="00E37D37" w:rsidRDefault="00E37D37" w:rsidP="0066111E">
      <w:pPr>
        <w:pStyle w:val="Paragraph"/>
      </w:pPr>
      <w:r>
        <w:t xml:space="preserve">This represents an annual average increase of </w:t>
      </w:r>
      <w:r w:rsidR="00685AC9">
        <w:t>15,763</w:t>
      </w:r>
      <w:r>
        <w:t>, with the largest increase occurring</w:t>
      </w:r>
      <w:r w:rsidR="009B328E">
        <w:t xml:space="preserve"> in the latest year</w:t>
      </w:r>
      <w:r>
        <w:t xml:space="preserve"> between </w:t>
      </w:r>
      <w:r w:rsidR="00685AC9">
        <w:t xml:space="preserve">2020 </w:t>
      </w:r>
      <w:r>
        <w:t xml:space="preserve">and </w:t>
      </w:r>
      <w:r w:rsidR="00685AC9">
        <w:t xml:space="preserve">2021 </w:t>
      </w:r>
      <w:r>
        <w:t>(</w:t>
      </w:r>
      <w:r w:rsidR="00685AC9">
        <w:t>23,913</w:t>
      </w:r>
      <w:r>
        <w:t>)</w:t>
      </w:r>
      <w:r w:rsidR="009B6CD0">
        <w:t xml:space="preserve">, following a small increase of 10,994 between 2019 and 2020, during which supply of new housing which was affected by the Covid-19 pandemic. </w:t>
      </w:r>
      <w:r>
        <w:t xml:space="preserve"> </w:t>
      </w:r>
      <w:r w:rsidR="009B6CD0">
        <w:t>T</w:t>
      </w:r>
      <w:r>
        <w:t>he smallest increase</w:t>
      </w:r>
      <w:r w:rsidR="009B6CD0">
        <w:t xml:space="preserve"> over the period was </w:t>
      </w:r>
      <w:r>
        <w:t xml:space="preserve"> between 2010 and 2011 (10,204).</w:t>
      </w:r>
    </w:p>
    <w:p w14:paraId="741AF094" w14:textId="2AF5609B" w:rsidR="00E37D37" w:rsidRDefault="00E37D37" w:rsidP="0066111E">
      <w:pPr>
        <w:pStyle w:val="Paragraph"/>
      </w:pPr>
      <w:r>
        <w:t>This indicator incorporates population and household growth, in that an annual increase of between 10,000 and 15,000 is considered to be a ‘maintaining’ position. An annual increase of more than 15,000 is required to show this indicator as ‘improving’ and any decrease or increase less than 10,000 will show it as ‘worsening’.</w:t>
      </w:r>
    </w:p>
    <w:p w14:paraId="488C54D4" w14:textId="213A68A9" w:rsidR="00E37D37" w:rsidRDefault="00E37D37" w:rsidP="0066111E">
      <w:pPr>
        <w:pStyle w:val="Paragraph"/>
      </w:pPr>
      <w:r>
        <w:t xml:space="preserve">The increase of </w:t>
      </w:r>
      <w:r w:rsidR="00685AC9">
        <w:t>23,913</w:t>
      </w:r>
      <w:r>
        <w:t xml:space="preserve"> between </w:t>
      </w:r>
      <w:r w:rsidR="00685AC9">
        <w:t xml:space="preserve">2020 </w:t>
      </w:r>
      <w:r>
        <w:t>and 20</w:t>
      </w:r>
      <w:r w:rsidR="00685AC9">
        <w:t>21</w:t>
      </w:r>
      <w:r>
        <w:t xml:space="preserve"> represents an ‘improving’ position. </w:t>
      </w:r>
    </w:p>
    <w:p w14:paraId="59A50299" w14:textId="77777777" w:rsidR="00E37D37" w:rsidRDefault="00E37D37" w:rsidP="00E37D37"/>
    <w:p w14:paraId="66235D9B" w14:textId="77777777" w:rsidR="00011CB5" w:rsidRDefault="00011CB5">
      <w:pPr>
        <w:tabs>
          <w:tab w:val="clear" w:pos="720"/>
          <w:tab w:val="clear" w:pos="1440"/>
          <w:tab w:val="clear" w:pos="2160"/>
          <w:tab w:val="clear" w:pos="2880"/>
          <w:tab w:val="clear" w:pos="4680"/>
          <w:tab w:val="clear" w:pos="5400"/>
          <w:tab w:val="clear" w:pos="9000"/>
        </w:tabs>
        <w:spacing w:line="240" w:lineRule="auto"/>
      </w:pPr>
      <w:r>
        <w:br w:type="page"/>
      </w:r>
    </w:p>
    <w:p w14:paraId="2A617B5A" w14:textId="49F08262" w:rsidR="00E37D37" w:rsidRDefault="00E37D37" w:rsidP="0066111E">
      <w:pPr>
        <w:pStyle w:val="Paragraph"/>
      </w:pPr>
      <w:r>
        <w:lastRenderedPageBreak/>
        <w:t>[Chart 2</w:t>
      </w:r>
      <w:r w:rsidR="005562D5">
        <w:t xml:space="preserve"> – Dwellings by Tenure</w:t>
      </w:r>
      <w:r w:rsidR="002918EA">
        <w:t xml:space="preserve"> (Source: Scottish Government - </w:t>
      </w:r>
      <w:r w:rsidR="002918EA" w:rsidRPr="002918EA">
        <w:t>Housing Statistics for Scotland - 'Stock by Tenure' Table</w:t>
      </w:r>
      <w:r w:rsidR="002918EA">
        <w:t>)</w:t>
      </w:r>
      <w:r>
        <w:t>]</w:t>
      </w:r>
    </w:p>
    <w:p w14:paraId="04EF9CD2" w14:textId="77F75824" w:rsidR="006856AD" w:rsidRDefault="00011CB5" w:rsidP="00E37D37">
      <w:r>
        <w:rPr>
          <w:noProof/>
          <w:lang w:val="en-GB" w:eastAsia="en-GB"/>
        </w:rPr>
        <w:drawing>
          <wp:inline distT="0" distB="0" distL="0" distR="0" wp14:anchorId="66FD58A2" wp14:editId="6E1AB60A">
            <wp:extent cx="6116320" cy="2970393"/>
            <wp:effectExtent l="0" t="0" r="0" b="190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116320" cy="2970393"/>
                    </a:xfrm>
                    <a:prstGeom prst="rect">
                      <a:avLst/>
                    </a:prstGeom>
                  </pic:spPr>
                </pic:pic>
              </a:graphicData>
            </a:graphic>
          </wp:inline>
        </w:drawing>
      </w:r>
    </w:p>
    <w:p w14:paraId="1BA50023" w14:textId="07D7104D" w:rsidR="00967CF1" w:rsidRDefault="00967CF1" w:rsidP="00E37D37"/>
    <w:p w14:paraId="603C6586" w14:textId="0F37BCF5" w:rsidR="00E37D37" w:rsidRDefault="00E37D37" w:rsidP="0066111E">
      <w:pPr>
        <w:pStyle w:val="Paragraph"/>
      </w:pPr>
      <w:r>
        <w:t xml:space="preserve">Between 2007 and </w:t>
      </w:r>
      <w:r w:rsidR="005562D5">
        <w:t>2020</w:t>
      </w:r>
      <w:r>
        <w:t>, the biggest change in dwelling tenure has been in the Private Rented Sector:</w:t>
      </w:r>
    </w:p>
    <w:p w14:paraId="080FC24A" w14:textId="77777777" w:rsidR="00E37D37" w:rsidRDefault="00E37D37" w:rsidP="00E37D37"/>
    <w:p w14:paraId="5F9D46FB" w14:textId="3D400C57" w:rsidR="00E37D37" w:rsidRDefault="00E37D37" w:rsidP="00407994">
      <w:pPr>
        <w:pStyle w:val="SGBullet"/>
      </w:pPr>
      <w:r>
        <w:t>Private Rented Sector (or living free): +</w:t>
      </w:r>
      <w:r w:rsidR="00685AC9">
        <w:t>148,000</w:t>
      </w:r>
      <w:r>
        <w:t xml:space="preserve"> (+</w:t>
      </w:r>
      <w:r w:rsidR="00685AC9">
        <w:t>6</w:t>
      </w:r>
      <w:r>
        <w:t xml:space="preserve">0%) to </w:t>
      </w:r>
      <w:r w:rsidR="00685AC9">
        <w:t>395</w:t>
      </w:r>
      <w:r>
        <w:t>,000</w:t>
      </w:r>
      <w:r w:rsidR="003D710C">
        <w:t xml:space="preserve"> (although note that the latest estimate for 2020 isn’t directly comparable to results </w:t>
      </w:r>
      <w:r w:rsidR="00D64428">
        <w:t xml:space="preserve">for previous years </w:t>
      </w:r>
      <w:r w:rsidR="003D710C">
        <w:t>due to impacts from Covid on the survey estimates used)</w:t>
      </w:r>
    </w:p>
    <w:p w14:paraId="2FB8EA92" w14:textId="287F7BC9" w:rsidR="00E37D37" w:rsidRDefault="00E37D37" w:rsidP="00407994">
      <w:pPr>
        <w:pStyle w:val="SGBullet"/>
      </w:pPr>
      <w:r>
        <w:t xml:space="preserve">Local Authority </w:t>
      </w:r>
      <w:proofErr w:type="gramStart"/>
      <w:r>
        <w:t>Rent :</w:t>
      </w:r>
      <w:proofErr w:type="gramEnd"/>
      <w:r>
        <w:t xml:space="preserve"> -</w:t>
      </w:r>
      <w:r w:rsidR="00685AC9">
        <w:t>29</w:t>
      </w:r>
      <w:r>
        <w:t>,000 (-</w:t>
      </w:r>
      <w:r w:rsidR="00685AC9">
        <w:t>8</w:t>
      </w:r>
      <w:r>
        <w:t xml:space="preserve">%) to </w:t>
      </w:r>
      <w:r w:rsidR="00685AC9">
        <w:t>317</w:t>
      </w:r>
      <w:r>
        <w:t>,000</w:t>
      </w:r>
    </w:p>
    <w:p w14:paraId="640B9F48" w14:textId="55ED3594" w:rsidR="00E37D37" w:rsidRDefault="00E37D37" w:rsidP="00407994">
      <w:pPr>
        <w:pStyle w:val="SGBullet"/>
      </w:pPr>
      <w:r>
        <w:t>Housing Association Rent:  +</w:t>
      </w:r>
      <w:r w:rsidR="00685AC9">
        <w:t>30</w:t>
      </w:r>
      <w:r>
        <w:t>,000 (+</w:t>
      </w:r>
      <w:r w:rsidR="00685AC9">
        <w:t>11</w:t>
      </w:r>
      <w:r>
        <w:t xml:space="preserve">%) to </w:t>
      </w:r>
      <w:r w:rsidR="00685AC9">
        <w:t>291</w:t>
      </w:r>
      <w:r>
        <w:t>,000</w:t>
      </w:r>
    </w:p>
    <w:p w14:paraId="2CEA687F" w14:textId="5ED43572" w:rsidR="00E37D37" w:rsidRDefault="00E37D37" w:rsidP="00407994">
      <w:pPr>
        <w:pStyle w:val="SGBullet"/>
      </w:pPr>
      <w:r>
        <w:t>Vacant private dwellings or 2nd homes: +</w:t>
      </w:r>
      <w:r w:rsidR="00685AC9">
        <w:t>22</w:t>
      </w:r>
      <w:r>
        <w:t>,000 (+2</w:t>
      </w:r>
      <w:r w:rsidR="00685AC9">
        <w:t>7</w:t>
      </w:r>
      <w:r>
        <w:t xml:space="preserve">%) to </w:t>
      </w:r>
      <w:r w:rsidR="00685AC9">
        <w:t>101,000</w:t>
      </w:r>
    </w:p>
    <w:p w14:paraId="37B793B9" w14:textId="08312F3E" w:rsidR="00E37D37" w:rsidRDefault="00E37D37" w:rsidP="00407994">
      <w:pPr>
        <w:pStyle w:val="SGBullet"/>
      </w:pPr>
      <w:r>
        <w:t>Owner-Occupation: +4</w:t>
      </w:r>
      <w:r w:rsidR="00685AC9">
        <w:t>6</w:t>
      </w:r>
      <w:r>
        <w:t>,000 (+3%) to 1.54 million</w:t>
      </w:r>
      <w:r w:rsidR="003D710C">
        <w:t xml:space="preserve"> (</w:t>
      </w:r>
      <w:r w:rsidR="00D64428">
        <w:t>although note that the latest estimate for 2020 isn’t directly comparable to results for previous years due to impacts from Covid on the survey estimates used</w:t>
      </w:r>
      <w:r w:rsidR="003D710C">
        <w:t>)</w:t>
      </w:r>
    </w:p>
    <w:p w14:paraId="715BBAA2" w14:textId="77777777" w:rsidR="00E37D37" w:rsidRDefault="00E37D37" w:rsidP="0066111E">
      <w:pPr>
        <w:pStyle w:val="Paragraph"/>
      </w:pPr>
      <w:r>
        <w:t>Key factors contributing to all these changes include:</w:t>
      </w:r>
    </w:p>
    <w:p w14:paraId="6713D142" w14:textId="77777777" w:rsidR="00E37D37" w:rsidRDefault="00E37D37" w:rsidP="00E37D37"/>
    <w:p w14:paraId="56832A1B" w14:textId="3EDAD149" w:rsidR="00E37D37" w:rsidRDefault="00E37D37" w:rsidP="00407994">
      <w:pPr>
        <w:pStyle w:val="SGBullet"/>
      </w:pPr>
      <w:r>
        <w:t xml:space="preserve">Growth in Private Rented Sector, due to financial constraints in the housing market, following the financial crisis in 2007/08, making it more challenging for some households to </w:t>
      </w:r>
      <w:proofErr w:type="gramStart"/>
      <w:r>
        <w:t>enter into</w:t>
      </w:r>
      <w:proofErr w:type="gramEnd"/>
      <w:r>
        <w:t xml:space="preserve"> home ownership. These constraints eased by 2018, which may have contributed to a fall of 22,000 (6%) in the size of private rented sector in 2018.</w:t>
      </w:r>
      <w:r w:rsidR="00B95337">
        <w:t xml:space="preserve"> The survey data shows an increase of 25,000 since 2018, but the 2020 data is not directly comparable with previous years.</w:t>
      </w:r>
    </w:p>
    <w:p w14:paraId="0E97B6B3" w14:textId="5B985BF6" w:rsidR="00E37D37" w:rsidRDefault="00E37D37" w:rsidP="00407994">
      <w:pPr>
        <w:pStyle w:val="SGBullet"/>
      </w:pPr>
      <w:r>
        <w:t>At least 31,</w:t>
      </w:r>
      <w:r w:rsidR="00685AC9">
        <w:t xml:space="preserve">050 </w:t>
      </w:r>
      <w:r>
        <w:t>sales of Local Authority and Housing Association Stock (from 2007/08 to 20</w:t>
      </w:r>
      <w:r w:rsidR="00685AC9">
        <w:t>19/20</w:t>
      </w:r>
      <w:r>
        <w:t xml:space="preserve">), with the majority under Right to Buy, alongside other stock losses such as demolitions. These were mostly countered by </w:t>
      </w:r>
      <w:r w:rsidR="00D64428">
        <w:t>almost 62,000</w:t>
      </w:r>
      <w:r>
        <w:t xml:space="preserve"> new build local authority and housing association homes during the same period.   </w:t>
      </w:r>
    </w:p>
    <w:p w14:paraId="0E53498C" w14:textId="0F9DDDA1" w:rsidR="000465F8" w:rsidRDefault="00E37D37" w:rsidP="00407994">
      <w:pPr>
        <w:pStyle w:val="SGBullet"/>
      </w:pPr>
      <w:r>
        <w:lastRenderedPageBreak/>
        <w:t xml:space="preserve">Dominance of Private Sector led new building, accounting for </w:t>
      </w:r>
      <w:r w:rsidR="00D64428">
        <w:t>74</w:t>
      </w:r>
      <w:r>
        <w:t xml:space="preserve">% of the </w:t>
      </w:r>
      <w:r w:rsidR="00D64428">
        <w:t>236,338</w:t>
      </w:r>
      <w:r>
        <w:t xml:space="preserve"> new homes built over this period (2007/08 to 20</w:t>
      </w:r>
      <w:r w:rsidR="00685AC9">
        <w:t>19</w:t>
      </w:r>
      <w:r>
        <w:t>/</w:t>
      </w:r>
      <w:r w:rsidR="00685AC9">
        <w:t>20</w:t>
      </w:r>
      <w:r>
        <w:t>).</w:t>
      </w:r>
    </w:p>
    <w:p w14:paraId="2B928379" w14:textId="0A15DC50" w:rsidR="000465F8" w:rsidRDefault="00011CB5" w:rsidP="0075287E">
      <w:pPr>
        <w:tabs>
          <w:tab w:val="clear" w:pos="720"/>
          <w:tab w:val="clear" w:pos="1440"/>
          <w:tab w:val="clear" w:pos="2160"/>
          <w:tab w:val="clear" w:pos="2880"/>
          <w:tab w:val="clear" w:pos="4680"/>
          <w:tab w:val="clear" w:pos="5400"/>
          <w:tab w:val="clear" w:pos="9000"/>
        </w:tabs>
        <w:spacing w:line="240" w:lineRule="auto"/>
      </w:pPr>
      <w:r>
        <w:br w:type="page"/>
      </w:r>
      <w:bookmarkStart w:id="0" w:name="_Hlk117674215"/>
      <w:r w:rsidR="000465F8">
        <w:lastRenderedPageBreak/>
        <w:t>[Chart 3</w:t>
      </w:r>
      <w:r w:rsidR="00D64428">
        <w:t xml:space="preserve"> – Percentage of People Satisfied with Their Home by Deprivation</w:t>
      </w:r>
      <w:r w:rsidR="002918EA">
        <w:t xml:space="preserve"> (Source: Scottish Government - </w:t>
      </w:r>
      <w:r w:rsidR="002918EA" w:rsidRPr="002918EA">
        <w:t>Scottish Household Survey</w:t>
      </w:r>
      <w:r w:rsidR="002918EA">
        <w:t>)</w:t>
      </w:r>
      <w:r w:rsidR="000465F8">
        <w:t>]</w:t>
      </w:r>
    </w:p>
    <w:p w14:paraId="2C5CC7A9" w14:textId="16FAE3B0" w:rsidR="00011CB5" w:rsidRDefault="00C76CF3" w:rsidP="0066111E">
      <w:pPr>
        <w:pStyle w:val="Paragraph"/>
      </w:pPr>
      <w:r>
        <w:rPr>
          <w:lang w:eastAsia="en-GB"/>
        </w:rPr>
        <w:drawing>
          <wp:inline distT="0" distB="0" distL="0" distR="0" wp14:anchorId="31FD8638" wp14:editId="665693FB">
            <wp:extent cx="5882578" cy="3474085"/>
            <wp:effectExtent l="0" t="0" r="4445"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882578" cy="3474085"/>
                    </a:xfrm>
                    <a:prstGeom prst="rect">
                      <a:avLst/>
                    </a:prstGeom>
                  </pic:spPr>
                </pic:pic>
              </a:graphicData>
            </a:graphic>
          </wp:inline>
        </w:drawing>
      </w:r>
    </w:p>
    <w:p w14:paraId="2CD77260" w14:textId="35B01071" w:rsidR="0075287E" w:rsidRDefault="0075287E" w:rsidP="0066111E">
      <w:pPr>
        <w:pStyle w:val="Paragraph"/>
      </w:pPr>
      <w:r>
        <w:t>In 2019, 85</w:t>
      </w:r>
      <w:r w:rsidR="008B17FD">
        <w:t>.0</w:t>
      </w:r>
      <w:r>
        <w:t>% of households in the 30% most deprived areas were satisfied with their home which was similar to 2018</w:t>
      </w:r>
      <w:r w:rsidR="008B17FD">
        <w:t xml:space="preserve"> (84.7%)</w:t>
      </w:r>
      <w:r>
        <w:t>. For Scotland as a whole, 90.1% of households were satisfied with their home</w:t>
      </w:r>
      <w:r w:rsidR="008B17FD">
        <w:t>, similar to 2018 (90.3%)</w:t>
      </w:r>
      <w:r>
        <w:t xml:space="preserve">. </w:t>
      </w:r>
    </w:p>
    <w:p w14:paraId="7D92D2BB" w14:textId="1CCEF18E" w:rsidR="0075287E" w:rsidRDefault="0075287E" w:rsidP="0066111E">
      <w:pPr>
        <w:pStyle w:val="Paragraph"/>
      </w:pPr>
      <w:r>
        <w:t>Therefore, the gap in satisfaction between Scotland as a whole and the 30% most deprived areas was 5.1 percentage points, similar to the previous year when the gap was 5.6 percentage points. The change in the gap was within 3 percentage points which means that the assessment for this indicator is ‘Performance Maintaining’</w:t>
      </w:r>
    </w:p>
    <w:p w14:paraId="72465262" w14:textId="51E59FF8" w:rsidR="00875AC5" w:rsidRDefault="00875AC5">
      <w:pPr>
        <w:tabs>
          <w:tab w:val="clear" w:pos="720"/>
          <w:tab w:val="clear" w:pos="1440"/>
          <w:tab w:val="clear" w:pos="2160"/>
          <w:tab w:val="clear" w:pos="2880"/>
          <w:tab w:val="clear" w:pos="4680"/>
          <w:tab w:val="clear" w:pos="5400"/>
          <w:tab w:val="clear" w:pos="9000"/>
        </w:tabs>
        <w:spacing w:line="240" w:lineRule="auto"/>
        <w:rPr>
          <w:rFonts w:eastAsia="Times New Roman"/>
          <w:b/>
          <w:sz w:val="30"/>
          <w:lang w:val="en-GB"/>
        </w:rPr>
      </w:pPr>
      <w:r>
        <w:br w:type="page"/>
      </w:r>
    </w:p>
    <w:bookmarkEnd w:id="0"/>
    <w:p w14:paraId="177062C0" w14:textId="4AC492F3" w:rsidR="00C777D7" w:rsidRDefault="00C777D7" w:rsidP="00C777D7">
      <w:pPr>
        <w:pStyle w:val="Heading2"/>
      </w:pPr>
      <w:r w:rsidRPr="00C777D7">
        <w:lastRenderedPageBreak/>
        <w:t>Homes that People can Afford</w:t>
      </w:r>
    </w:p>
    <w:p w14:paraId="01021E11" w14:textId="4B4200D1" w:rsidR="00C50CB1" w:rsidRPr="006B1320" w:rsidRDefault="00292F1C" w:rsidP="00807E29">
      <w:pPr>
        <w:tabs>
          <w:tab w:val="clear" w:pos="720"/>
          <w:tab w:val="clear" w:pos="1440"/>
          <w:tab w:val="clear" w:pos="2160"/>
          <w:tab w:val="clear" w:pos="2880"/>
          <w:tab w:val="clear" w:pos="4680"/>
          <w:tab w:val="clear" w:pos="5400"/>
          <w:tab w:val="clear" w:pos="9000"/>
        </w:tabs>
        <w:spacing w:line="240" w:lineRule="auto"/>
        <w:rPr>
          <w:szCs w:val="26"/>
        </w:rPr>
      </w:pPr>
      <w:r w:rsidRPr="00AE10D0">
        <w:t>[Chart 4</w:t>
      </w:r>
      <w:r w:rsidR="00D64428">
        <w:t xml:space="preserve"> – Number of Loans for House Purchases</w:t>
      </w:r>
      <w:r w:rsidR="002918EA">
        <w:t xml:space="preserve"> (Source: </w:t>
      </w:r>
      <w:r w:rsidR="002918EA" w:rsidRPr="00445FBF">
        <w:rPr>
          <w:rFonts w:eastAsia="Times New Roman" w:cs="Arial"/>
          <w:color w:val="000000"/>
          <w:szCs w:val="26"/>
          <w:lang w:val="en-GB" w:eastAsia="en-GB"/>
        </w:rPr>
        <w:t>Financial Conduct Authority)</w:t>
      </w:r>
      <w:r w:rsidRPr="006B1320">
        <w:rPr>
          <w:szCs w:val="26"/>
        </w:rPr>
        <w:t>]</w:t>
      </w:r>
    </w:p>
    <w:p w14:paraId="4E318127" w14:textId="10851391" w:rsidR="00875AC5" w:rsidRPr="00AE10D0" w:rsidRDefault="006B1320" w:rsidP="0066111E">
      <w:pPr>
        <w:pStyle w:val="Paragraph"/>
      </w:pPr>
      <w:r w:rsidRPr="006B1320">
        <w:rPr>
          <w:lang w:eastAsia="en-GB"/>
        </w:rPr>
        <w:drawing>
          <wp:inline distT="0" distB="0" distL="0" distR="0" wp14:anchorId="059F7C51" wp14:editId="57877D16">
            <wp:extent cx="5880394" cy="3368521"/>
            <wp:effectExtent l="0" t="0" r="635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5880394" cy="3368521"/>
                    </a:xfrm>
                    <a:prstGeom prst="rect">
                      <a:avLst/>
                    </a:prstGeom>
                  </pic:spPr>
                </pic:pic>
              </a:graphicData>
            </a:graphic>
          </wp:inline>
        </w:drawing>
      </w:r>
    </w:p>
    <w:p w14:paraId="27741C07" w14:textId="0C6D15D8" w:rsidR="002918EA" w:rsidRDefault="006B1320" w:rsidP="0066111E">
      <w:pPr>
        <w:pStyle w:val="Paragraph"/>
      </w:pPr>
      <w:r>
        <w:t xml:space="preserve">Following the 2008 financial crisis and ensuing recession, the total number of loans advanced for home purchase fell by more than half (53%) </w:t>
      </w:r>
      <w:r w:rsidR="002918EA">
        <w:t xml:space="preserve">between 2007 and 2009, from 96,489 to 45,134. </w:t>
      </w:r>
      <w:r>
        <w:t>Lending for home purchase then steadily recovered</w:t>
      </w:r>
      <w:r w:rsidR="002918EA">
        <w:t xml:space="preserve">, </w:t>
      </w:r>
      <w:r>
        <w:t xml:space="preserve">with the total number of loans </w:t>
      </w:r>
      <w:r w:rsidR="002918EA">
        <w:t xml:space="preserve">reaching 65,138 in 2019, an annualised growth rate of 3.7% over the </w:t>
      </w:r>
      <w:r>
        <w:t>period from 2009 to 2019</w:t>
      </w:r>
      <w:r w:rsidR="002918EA">
        <w:t xml:space="preserve">. </w:t>
      </w:r>
    </w:p>
    <w:p w14:paraId="1292D446" w14:textId="2A63042E" w:rsidR="002918EA" w:rsidRDefault="002918EA" w:rsidP="0066111E">
      <w:pPr>
        <w:pStyle w:val="Paragraph"/>
      </w:pPr>
      <w:r>
        <w:t xml:space="preserve">The Covid-19 pandemic </w:t>
      </w:r>
      <w:r w:rsidR="006B1320">
        <w:t xml:space="preserve">and associated restrictions on home moves </w:t>
      </w:r>
      <w:r>
        <w:t xml:space="preserve">led to a sharp reduction in </w:t>
      </w:r>
      <w:r w:rsidR="006B1320">
        <w:t xml:space="preserve">housing market activity in Q2 2020. However, following the lifting of restrictions on home moves in June 2020, there has been a strong recovery, which limited the annual decrease in 2020 to </w:t>
      </w:r>
      <w:r>
        <w:t>14%</w:t>
      </w:r>
      <w:r w:rsidR="006B1320">
        <w:t>, and resulted in the total number of loans for home purchase in 2021 (</w:t>
      </w:r>
      <w:r w:rsidR="006B1320" w:rsidRPr="006B1320">
        <w:t>69,779</w:t>
      </w:r>
      <w:r w:rsidR="006B2E18">
        <w:t>) being 7% above the 2019 (pre-c</w:t>
      </w:r>
      <w:r w:rsidR="006B1320">
        <w:t>ovid) level.</w:t>
      </w:r>
    </w:p>
    <w:p w14:paraId="35CAF637" w14:textId="11001850" w:rsidR="007A4CF1" w:rsidRDefault="006B1320" w:rsidP="0066111E">
      <w:pPr>
        <w:pStyle w:val="Paragraph"/>
      </w:pPr>
      <w:r>
        <w:t>During the housing-market boom years of the early 2000s, home movers constituted a signficant majority of housing market activity, with their share of loans for house purchase standing at 65% in 2007. However, following the 2008 financial crisis, housing-market activity became increasingly balance</w:t>
      </w:r>
      <w:r w:rsidR="006B2E18">
        <w:t>d between home movers and first-</w:t>
      </w:r>
      <w:r>
        <w:t>time buyers, and since 2016 the share of loans for home pu</w:t>
      </w:r>
      <w:r w:rsidR="006B2E18">
        <w:t>rchase of home movers and first-</w:t>
      </w:r>
      <w:r>
        <w:t>time buyers has been approximately equal.</w:t>
      </w:r>
      <w:r w:rsidR="002918EA">
        <w:t xml:space="preserve"> </w:t>
      </w:r>
    </w:p>
    <w:p w14:paraId="2C7F605D" w14:textId="2FD74DE0" w:rsidR="007A4CF1" w:rsidRDefault="004B14B6" w:rsidP="0066111E">
      <w:pPr>
        <w:pStyle w:val="Paragraph"/>
      </w:pPr>
      <w:r>
        <w:t>Please note the split between first-time buyers and home movers was erroneous in the June 2020 publication and has been corrected.</w:t>
      </w:r>
    </w:p>
    <w:p w14:paraId="2EEE16EB" w14:textId="6C7E637D" w:rsidR="0049719C" w:rsidRDefault="0049719C" w:rsidP="0066111E">
      <w:pPr>
        <w:pStyle w:val="Paragraph"/>
      </w:pPr>
    </w:p>
    <w:p w14:paraId="13D89840" w14:textId="77777777" w:rsidR="00A56002" w:rsidRDefault="00A56002" w:rsidP="0066111E">
      <w:pPr>
        <w:pStyle w:val="Paragraph"/>
      </w:pPr>
    </w:p>
    <w:p w14:paraId="2E3DC68E" w14:textId="77777777" w:rsidR="00A56002" w:rsidRDefault="00A56002" w:rsidP="0066111E">
      <w:pPr>
        <w:pStyle w:val="Paragraph"/>
      </w:pPr>
    </w:p>
    <w:p w14:paraId="43CE346B" w14:textId="77777777" w:rsidR="00A56002" w:rsidRDefault="00A56002" w:rsidP="0066111E">
      <w:pPr>
        <w:pStyle w:val="Paragraph"/>
      </w:pPr>
    </w:p>
    <w:p w14:paraId="69ED71CE" w14:textId="77777777" w:rsidR="00A56002" w:rsidRDefault="00A56002" w:rsidP="0066111E">
      <w:pPr>
        <w:pStyle w:val="Paragraph"/>
      </w:pPr>
    </w:p>
    <w:p w14:paraId="07554F3D" w14:textId="1C174A2A" w:rsidR="00726397" w:rsidRDefault="00726397" w:rsidP="0066111E">
      <w:pPr>
        <w:pStyle w:val="Paragraph"/>
      </w:pPr>
      <w:r>
        <w:t>[Chart 5</w:t>
      </w:r>
      <w:r w:rsidR="00D64428">
        <w:t xml:space="preserve"> – Ratio of Housing Costs to Income (median)</w:t>
      </w:r>
      <w:r w:rsidR="002918EA">
        <w:t xml:space="preserve"> (Source: Department of Work and Pensions (DWP) – Family Resouces Survey)</w:t>
      </w:r>
      <w:r>
        <w:t>]</w:t>
      </w:r>
    </w:p>
    <w:p w14:paraId="737BA429" w14:textId="3B9F6C36" w:rsidR="00764811" w:rsidRDefault="0049719C" w:rsidP="0066111E">
      <w:pPr>
        <w:pStyle w:val="Paragraph"/>
      </w:pPr>
      <w:r>
        <w:rPr>
          <w:lang w:eastAsia="en-GB"/>
        </w:rPr>
        <w:drawing>
          <wp:inline distT="0" distB="0" distL="0" distR="0" wp14:anchorId="6E072A28" wp14:editId="7B46F820">
            <wp:extent cx="5765335" cy="2991485"/>
            <wp:effectExtent l="0" t="0" r="6985"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765335" cy="2991485"/>
                    </a:xfrm>
                    <a:prstGeom prst="rect">
                      <a:avLst/>
                    </a:prstGeom>
                  </pic:spPr>
                </pic:pic>
              </a:graphicData>
            </a:graphic>
          </wp:inline>
        </w:drawing>
      </w:r>
    </w:p>
    <w:p w14:paraId="7141054D" w14:textId="699A798B" w:rsidR="00963ED7" w:rsidRDefault="00963ED7" w:rsidP="0066111E">
      <w:pPr>
        <w:pStyle w:val="Paragraph"/>
      </w:pPr>
      <w:r>
        <w:t>This measure of housing affordability shows the median ratio of housing costs to net (unequivalised) household income. The main indicator is on the ‘All Tenures’ aggregate.</w:t>
      </w:r>
    </w:p>
    <w:p w14:paraId="6635C114" w14:textId="7980DF05" w:rsidR="00D64428" w:rsidRDefault="00D64428" w:rsidP="0066111E">
      <w:pPr>
        <w:pStyle w:val="Paragraph"/>
      </w:pPr>
      <w:r w:rsidRPr="00407994">
        <w:t xml:space="preserve">Housing costs </w:t>
      </w:r>
      <w:r>
        <w:t>include</w:t>
      </w:r>
      <w:r w:rsidRPr="00407994">
        <w:t xml:space="preserve"> rent (gross of housing benefit); council water charges; mortgage interest payments (net of tax relief); structural insurance premiums (for owner occupiers); and service charges</w:t>
      </w:r>
      <w:r>
        <w:t>.</w:t>
      </w:r>
    </w:p>
    <w:p w14:paraId="3EC1C479" w14:textId="4459E726" w:rsidR="00963ED7" w:rsidRDefault="00963ED7" w:rsidP="0066111E">
      <w:pPr>
        <w:pStyle w:val="Paragraph"/>
      </w:pPr>
      <w:r>
        <w:t xml:space="preserve">Over the past </w:t>
      </w:r>
      <w:r w:rsidR="00982664">
        <w:t xml:space="preserve">13 </w:t>
      </w:r>
      <w:r>
        <w:t>years, the ‘All Tenures’ ratio was at its highest between 2006/07 and 2008/09, averaging at 12.4% over this period. Following the drop in 2009/10, the ratio remained very flat, averaging at 9.9% between 2009/10 and 2013/14, after which it dropped to an average of 9.1% between 2014/15 and 2016/17, after which it has fallen further to an average of 7.</w:t>
      </w:r>
      <w:r w:rsidR="00982664">
        <w:t>8</w:t>
      </w:r>
      <w:r>
        <w:t>% between 2017/18 and 201</w:t>
      </w:r>
      <w:r w:rsidR="004D7E11">
        <w:t>9/20</w:t>
      </w:r>
      <w:r>
        <w:t>.</w:t>
      </w:r>
    </w:p>
    <w:p w14:paraId="2F4871E5" w14:textId="5C3680CB" w:rsidR="00726397" w:rsidRDefault="00963ED7" w:rsidP="0066111E">
      <w:pPr>
        <w:pStyle w:val="Paragraph"/>
      </w:pPr>
      <w:r>
        <w:t>Trends for ‘Owned with a Mortgage’ also follow this general pattern, with a greater reduction from 14.3% in 2007/08 to 9.8% in 2009/10, reflecting falls in mortgage interest rates and reaching 7.</w:t>
      </w:r>
      <w:r w:rsidR="004D7E11">
        <w:t>0</w:t>
      </w:r>
      <w:r>
        <w:t xml:space="preserve">% by </w:t>
      </w:r>
      <w:r w:rsidR="004D7E11">
        <w:t>2019/20</w:t>
      </w:r>
      <w:r>
        <w:t>.</w:t>
      </w:r>
    </w:p>
    <w:p w14:paraId="3392A73C" w14:textId="0D4F1008" w:rsidR="008A66BF" w:rsidRDefault="008A66BF" w:rsidP="0066111E">
      <w:pPr>
        <w:pStyle w:val="Paragraph"/>
      </w:pPr>
      <w:r>
        <w:t>The ratio for ‘Owned Outright’ households has been fairly constant over the past 1</w:t>
      </w:r>
      <w:r w:rsidR="004D7E11">
        <w:t>3</w:t>
      </w:r>
      <w:r>
        <w:t xml:space="preserve"> years, within the range of 2.4% and 2.9% </w:t>
      </w:r>
    </w:p>
    <w:p w14:paraId="1F40C112" w14:textId="07E10E95" w:rsidR="0033744D" w:rsidRPr="00AE10D0" w:rsidRDefault="008A66BF" w:rsidP="0066111E">
      <w:pPr>
        <w:pStyle w:val="Paragraph"/>
      </w:pPr>
      <w:r>
        <w:t xml:space="preserve">In </w:t>
      </w:r>
      <w:r w:rsidR="004D7E11">
        <w:t>2019/20</w:t>
      </w:r>
      <w:r>
        <w:t>, the ratio for the Private Rented Sector (</w:t>
      </w:r>
      <w:r w:rsidR="004D7E11">
        <w:t>25.0</w:t>
      </w:r>
      <w:r>
        <w:t>%) was slightly higher to that for the Social Rented Sector (</w:t>
      </w:r>
      <w:r w:rsidR="004D7E11">
        <w:t>24</w:t>
      </w:r>
      <w:r>
        <w:t xml:space="preserve">.2%). For the Private Rented Sector this ratio was </w:t>
      </w:r>
      <w:r w:rsidR="004D7E11">
        <w:t xml:space="preserve">0.3 percentage </w:t>
      </w:r>
      <w:r>
        <w:t xml:space="preserve">points </w:t>
      </w:r>
      <w:r w:rsidR="004D7E11">
        <w:t xml:space="preserve">lower </w:t>
      </w:r>
      <w:r>
        <w:t xml:space="preserve">than 25.4% in 2006/07, </w:t>
      </w:r>
      <w:r w:rsidR="00982664">
        <w:t xml:space="preserve">whilst </w:t>
      </w:r>
      <w:r>
        <w:t xml:space="preserve">for the Social Rented Sector </w:t>
      </w:r>
      <w:r w:rsidR="00982664">
        <w:t>the</w:t>
      </w:r>
      <w:r>
        <w:t xml:space="preserve"> ratio is </w:t>
      </w:r>
      <w:r w:rsidR="004D7E11">
        <w:t>1.1</w:t>
      </w:r>
      <w:r>
        <w:t xml:space="preserve"> </w:t>
      </w:r>
      <w:r w:rsidR="004D7E11">
        <w:t xml:space="preserve">percentage </w:t>
      </w:r>
      <w:r>
        <w:t xml:space="preserve">points higher </w:t>
      </w:r>
      <w:r w:rsidR="00982664">
        <w:t>than</w:t>
      </w:r>
      <w:r>
        <w:t xml:space="preserve"> in 2006/07 (23.1%).</w:t>
      </w:r>
    </w:p>
    <w:p w14:paraId="54248DB7" w14:textId="77777777" w:rsidR="00233578" w:rsidRDefault="00233578">
      <w:pPr>
        <w:tabs>
          <w:tab w:val="clear" w:pos="720"/>
          <w:tab w:val="clear" w:pos="1440"/>
          <w:tab w:val="clear" w:pos="2160"/>
          <w:tab w:val="clear" w:pos="2880"/>
          <w:tab w:val="clear" w:pos="4680"/>
          <w:tab w:val="clear" w:pos="5400"/>
          <w:tab w:val="clear" w:pos="9000"/>
        </w:tabs>
        <w:spacing w:line="240" w:lineRule="auto"/>
        <w:rPr>
          <w:rFonts w:eastAsia="Times New Roman"/>
          <w:b/>
          <w:sz w:val="30"/>
          <w:lang w:val="en-GB"/>
        </w:rPr>
      </w:pPr>
      <w:r>
        <w:br w:type="page"/>
      </w:r>
    </w:p>
    <w:p w14:paraId="5E319AAA" w14:textId="0B0EDC42" w:rsidR="003E0571" w:rsidRDefault="0033744D" w:rsidP="003E0571">
      <w:pPr>
        <w:pStyle w:val="Heading2"/>
      </w:pPr>
      <w:r w:rsidRPr="0033744D">
        <w:lastRenderedPageBreak/>
        <w:t>Growth of Supply</w:t>
      </w:r>
    </w:p>
    <w:p w14:paraId="31B02CF1" w14:textId="52953F17" w:rsidR="00B74EFB" w:rsidRDefault="00B74EFB" w:rsidP="0066111E">
      <w:pPr>
        <w:pStyle w:val="Paragraph"/>
      </w:pPr>
      <w:r>
        <w:t>[Chart 6</w:t>
      </w:r>
      <w:r w:rsidR="00E12937">
        <w:t xml:space="preserve"> – Supply of New Housing in Scotland</w:t>
      </w:r>
      <w:r w:rsidR="002918EA">
        <w:t xml:space="preserve"> (Source: Scottish Government - </w:t>
      </w:r>
      <w:r w:rsidR="002918EA" w:rsidRPr="002918EA">
        <w:t>Housing Statistics for Scotland Supply of new housing annual tables</w:t>
      </w:r>
      <w:r w:rsidR="002918EA">
        <w:t xml:space="preserve"> &amp; </w:t>
      </w:r>
      <w:r w:rsidR="002918EA" w:rsidRPr="002918EA">
        <w:t>Housing statistics quarterly update</w:t>
      </w:r>
      <w:r w:rsidR="002918EA">
        <w:t xml:space="preserve">) </w:t>
      </w:r>
      <w:r>
        <w:t>]</w:t>
      </w:r>
    </w:p>
    <w:p w14:paraId="36C711F9" w14:textId="179A8DF5" w:rsidR="00233578" w:rsidRDefault="00233578" w:rsidP="0066111E">
      <w:pPr>
        <w:pStyle w:val="Paragraph"/>
      </w:pPr>
      <w:r>
        <w:rPr>
          <w:lang w:eastAsia="en-GB"/>
        </w:rPr>
        <w:drawing>
          <wp:inline distT="0" distB="0" distL="0" distR="0" wp14:anchorId="1F44A594" wp14:editId="4EC06AE4">
            <wp:extent cx="6002942" cy="2584449"/>
            <wp:effectExtent l="0" t="0" r="0" b="698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002942" cy="2584449"/>
                    </a:xfrm>
                    <a:prstGeom prst="rect">
                      <a:avLst/>
                    </a:prstGeom>
                  </pic:spPr>
                </pic:pic>
              </a:graphicData>
            </a:graphic>
          </wp:inline>
        </w:drawing>
      </w:r>
    </w:p>
    <w:p w14:paraId="0C450F15" w14:textId="1ED7760A" w:rsidR="00721F4A" w:rsidRDefault="00721F4A" w:rsidP="0066111E">
      <w:pPr>
        <w:pStyle w:val="Paragraph"/>
      </w:pPr>
      <w:r>
        <w:t xml:space="preserve">The </w:t>
      </w:r>
      <w:r w:rsidR="00E12937">
        <w:t xml:space="preserve">total </w:t>
      </w:r>
      <w:r>
        <w:t xml:space="preserve">supply of new housing fell dramatically after the start of the recession and decreased for 5 years by 12,654 (46%) from 27,594 in 2007-08 to 14,940 in 2012-13. </w:t>
      </w:r>
    </w:p>
    <w:p w14:paraId="50604BA8" w14:textId="5F13513A" w:rsidR="00721F4A" w:rsidRDefault="00721F4A" w:rsidP="0066111E">
      <w:pPr>
        <w:pStyle w:val="Paragraph"/>
      </w:pPr>
      <w:r>
        <w:t xml:space="preserve">Total supply </w:t>
      </w:r>
      <w:r w:rsidR="004D7E11">
        <w:t>then</w:t>
      </w:r>
      <w:r>
        <w:t xml:space="preserve"> increased in every year</w:t>
      </w:r>
      <w:r w:rsidR="004D7E11">
        <w:t xml:space="preserve"> until 2019/20</w:t>
      </w:r>
      <w:r>
        <w:t xml:space="preserve">, </w:t>
      </w:r>
      <w:r w:rsidR="004D7E11">
        <w:t>peaking at 23,047. The coronavirus pandemic then led to a sharp fall</w:t>
      </w:r>
      <w:r w:rsidR="005D0DB2">
        <w:t xml:space="preserve"> of 33%</w:t>
      </w:r>
      <w:r w:rsidR="004D7E11">
        <w:t xml:space="preserve"> to 15,360 in 2020/21.</w:t>
      </w:r>
      <w:r w:rsidR="00372450">
        <w:t xml:space="preserve"> There has been a srong recovery since the pandemic, with total housing supply, excluding conversations, already up to 20,852 in 2021/22</w:t>
      </w:r>
      <w:r w:rsidR="00C77572">
        <w:t>, representing an improving performnce for this indicator</w:t>
      </w:r>
      <w:r w:rsidR="00372450">
        <w:t>.</w:t>
      </w:r>
    </w:p>
    <w:p w14:paraId="19433A42" w14:textId="7CFFC7C2" w:rsidR="00721F4A" w:rsidRDefault="00721F4A" w:rsidP="0066111E">
      <w:pPr>
        <w:pStyle w:val="Paragraph"/>
      </w:pPr>
      <w:r>
        <w:t xml:space="preserve">The private led new build sector was most affected by the recession, with a decrease of 11,771 (54%) between 2007-08 and 2012-13. </w:t>
      </w:r>
      <w:r w:rsidR="004D7E11">
        <w:t>After</w:t>
      </w:r>
      <w:r>
        <w:t xml:space="preserve"> growing by </w:t>
      </w:r>
      <w:r w:rsidR="004D7E11">
        <w:t>6,475</w:t>
      </w:r>
      <w:r>
        <w:t xml:space="preserve"> (</w:t>
      </w:r>
      <w:r w:rsidR="004D7E11">
        <w:t>65</w:t>
      </w:r>
      <w:r>
        <w:t xml:space="preserve">%) </w:t>
      </w:r>
      <w:r w:rsidR="00372450">
        <w:t>over</w:t>
      </w:r>
      <w:r>
        <w:t xml:space="preserve"> </w:t>
      </w:r>
      <w:r w:rsidR="004D7E11">
        <w:t xml:space="preserve">7 </w:t>
      </w:r>
      <w:r>
        <w:t>years</w:t>
      </w:r>
      <w:r w:rsidR="004D7E11">
        <w:t>, private housebuilding then fell by 5,344 (33%) in 2020/21</w:t>
      </w:r>
      <w:r w:rsidR="00372450">
        <w:t>, before recovering by 3,188 (29%) in 2021/22.</w:t>
      </w:r>
      <w:r>
        <w:t>.</w:t>
      </w:r>
    </w:p>
    <w:p w14:paraId="431EC1BB" w14:textId="7B9F53B6" w:rsidR="00721F4A" w:rsidRDefault="00721F4A" w:rsidP="0066111E">
      <w:pPr>
        <w:pStyle w:val="Paragraph"/>
      </w:pPr>
      <w:r>
        <w:t>Over this period, new build</w:t>
      </w:r>
      <w:r w:rsidR="00E12937">
        <w:t>s</w:t>
      </w:r>
      <w:r>
        <w:t xml:space="preserve"> by Housing Associations peaked at 5,576 in 2009-10</w:t>
      </w:r>
      <w:r w:rsidR="004D7E11">
        <w:t>,</w:t>
      </w:r>
      <w:r>
        <w:t xml:space="preserve"> </w:t>
      </w:r>
      <w:r w:rsidR="004D7E11">
        <w:t>then fell</w:t>
      </w:r>
      <w:r>
        <w:t xml:space="preserve"> 58% </w:t>
      </w:r>
      <w:r w:rsidR="004D7E11">
        <w:t>to a low of</w:t>
      </w:r>
      <w:r>
        <w:t xml:space="preserve"> 2,320 in 2015-16, </w:t>
      </w:r>
      <w:r w:rsidR="00E12937">
        <w:t>before</w:t>
      </w:r>
      <w:r w:rsidR="004D7E11">
        <w:t xml:space="preserve"> rising again to 4,204 in 2019/20. In 2020/21, housing association new builds fell 44% to 2,364</w:t>
      </w:r>
      <w:r w:rsidR="00372450">
        <w:t>, before recovering by 1,488 (63%)</w:t>
      </w:r>
      <w:r w:rsidR="00381059">
        <w:t xml:space="preserve"> to reach 3,852 in 2021/22.</w:t>
      </w:r>
      <w:r w:rsidR="004D7E11">
        <w:t>.</w:t>
      </w:r>
    </w:p>
    <w:p w14:paraId="0DFAEEEA" w14:textId="08E736C0" w:rsidR="00721F4A" w:rsidRDefault="00721F4A" w:rsidP="0066111E">
      <w:pPr>
        <w:pStyle w:val="Paragraph"/>
      </w:pPr>
      <w:r>
        <w:t>New build by Local Authorities</w:t>
      </w:r>
      <w:r w:rsidR="004D7E11">
        <w:t xml:space="preserve"> generally</w:t>
      </w:r>
      <w:r>
        <w:t xml:space="preserve"> increased</w:t>
      </w:r>
      <w:r w:rsidR="004D7E11">
        <w:t xml:space="preserve"> </w:t>
      </w:r>
      <w:r>
        <w:t>from 28 in 2007-08 to 1,</w:t>
      </w:r>
      <w:r w:rsidR="004D7E11">
        <w:t xml:space="preserve">468 </w:t>
      </w:r>
      <w:r>
        <w:t xml:space="preserve">in </w:t>
      </w:r>
      <w:r w:rsidR="004D7E11">
        <w:t>2019-20</w:t>
      </w:r>
      <w:r>
        <w:t xml:space="preserve">, followed by a </w:t>
      </w:r>
      <w:r w:rsidR="004D7E11">
        <w:t xml:space="preserve">much smaller decrease of 4% (57) to 2020/21 compared to </w:t>
      </w:r>
      <w:r w:rsidR="00E12937">
        <w:t>Private-led</w:t>
      </w:r>
      <w:r w:rsidR="004D7E11">
        <w:t xml:space="preserve"> and </w:t>
      </w:r>
      <w:r w:rsidR="00E12937">
        <w:t>Housing</w:t>
      </w:r>
      <w:r w:rsidR="004D7E11">
        <w:t xml:space="preserve"> </w:t>
      </w:r>
      <w:r w:rsidR="00E12937">
        <w:t>A</w:t>
      </w:r>
      <w:r w:rsidR="004D7E11">
        <w:t>ssociation completions.</w:t>
      </w:r>
      <w:r w:rsidR="00381059">
        <w:t xml:space="preserve"> There was a large increase in 2021/22 of 92% (1,294), with new build by Local Authorities reaching a 14 year high of 2,705.</w:t>
      </w:r>
    </w:p>
    <w:p w14:paraId="6EAC4186" w14:textId="124D4EB6" w:rsidR="00721F4A" w:rsidRDefault="00721F4A" w:rsidP="0066111E">
      <w:pPr>
        <w:pStyle w:val="Paragraph"/>
      </w:pPr>
      <w:r>
        <w:t>The combined number of rehabilitations and conversions averaged 1,</w:t>
      </w:r>
      <w:r w:rsidR="004D7E11">
        <w:t xml:space="preserve">149 </w:t>
      </w:r>
      <w:r>
        <w:t xml:space="preserve">over the past </w:t>
      </w:r>
      <w:r w:rsidR="004D7E11">
        <w:t xml:space="preserve">14 </w:t>
      </w:r>
      <w:r>
        <w:t>years, with the numbers in 2016-17 (1,390) and 2017-18 (</w:t>
      </w:r>
      <w:r w:rsidR="00E12937">
        <w:t>1,685</w:t>
      </w:r>
      <w:r>
        <w:t xml:space="preserve">) well above this average, but the numbers </w:t>
      </w:r>
      <w:r w:rsidR="004D7E11">
        <w:t>since</w:t>
      </w:r>
      <w:r>
        <w:t xml:space="preserve"> being below this average</w:t>
      </w:r>
      <w:r w:rsidR="004D7E11">
        <w:t>, with 562 in 2020/21</w:t>
      </w:r>
      <w:r>
        <w:t>.</w:t>
      </w:r>
    </w:p>
    <w:p w14:paraId="2D6BE70D" w14:textId="55A8E124" w:rsidR="00D5714F" w:rsidRDefault="009E0905" w:rsidP="0066111E">
      <w:pPr>
        <w:pStyle w:val="Paragraph"/>
      </w:pPr>
      <w:r w:rsidRPr="00502C2E">
        <w:t>Note: New build and rehabilitation figures for 2021-22 are taken from the latest published Housing statistics quarterly update. The conversions figure for 2021-22 is sourced from separate annual statistics and isn't yet available.</w:t>
      </w:r>
      <w:r w:rsidR="00D5714F">
        <w:br w:type="page"/>
      </w:r>
    </w:p>
    <w:p w14:paraId="152CEE3D" w14:textId="307FD9A1" w:rsidR="00D5714F" w:rsidRDefault="00D5714F" w:rsidP="0066111E">
      <w:pPr>
        <w:pStyle w:val="Paragraph"/>
      </w:pPr>
      <w:bookmarkStart w:id="1" w:name="_Hlk117671749"/>
      <w:r>
        <w:lastRenderedPageBreak/>
        <w:t>[Chart 7</w:t>
      </w:r>
      <w:r w:rsidR="00E12937">
        <w:t xml:space="preserve"> – Effective Housing Land Supply</w:t>
      </w:r>
      <w:r w:rsidR="002918EA">
        <w:t xml:space="preserve"> (Source: </w:t>
      </w:r>
      <w:r w:rsidR="002918EA" w:rsidRPr="002918EA">
        <w:t xml:space="preserve">Local Authority Planning Performance Framework </w:t>
      </w:r>
      <w:r w:rsidR="002918EA">
        <w:t xml:space="preserve">- </w:t>
      </w:r>
      <w:r w:rsidR="002918EA" w:rsidRPr="002918EA">
        <w:t>Annual Reports</w:t>
      </w:r>
      <w:r w:rsidR="002918EA">
        <w:t>)</w:t>
      </w:r>
      <w:r>
        <w:t>]</w:t>
      </w:r>
    </w:p>
    <w:p w14:paraId="13BB8EC5" w14:textId="6D29E1EB" w:rsidR="00D5714F" w:rsidRDefault="00D80E22" w:rsidP="0066111E">
      <w:pPr>
        <w:pStyle w:val="Paragraph"/>
      </w:pPr>
      <w:r>
        <w:rPr>
          <w:lang w:eastAsia="en-GB"/>
        </w:rPr>
        <w:drawing>
          <wp:inline distT="0" distB="0" distL="0" distR="0" wp14:anchorId="7ACCD420" wp14:editId="2AB069EA">
            <wp:extent cx="6004357" cy="3358813"/>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6004357" cy="3358813"/>
                    </a:xfrm>
                    <a:prstGeom prst="rect">
                      <a:avLst/>
                    </a:prstGeom>
                  </pic:spPr>
                </pic:pic>
              </a:graphicData>
            </a:graphic>
          </wp:inline>
        </w:drawing>
      </w:r>
    </w:p>
    <w:p w14:paraId="576A9B62" w14:textId="5A744BEC" w:rsidR="003169EA" w:rsidRDefault="003169EA" w:rsidP="0066111E">
      <w:pPr>
        <w:pStyle w:val="Paragraph"/>
      </w:pPr>
      <w:r>
        <w:t xml:space="preserve">National estimates of </w:t>
      </w:r>
      <w:r w:rsidRPr="0024344B">
        <w:rPr>
          <w:rStyle w:val="SGBoldCharacter"/>
        </w:rPr>
        <w:t>Effective Housing Land Supply (EHLS)</w:t>
      </w:r>
      <w:r>
        <w:t xml:space="preserve">  have been derived from the Planning Performance Framework (PPF) Annual Reports, published by Local Authorities between 2012 and 2014. </w:t>
      </w:r>
    </w:p>
    <w:p w14:paraId="5AFB18B4" w14:textId="25EB1A43" w:rsidR="00C210CC" w:rsidRDefault="003169EA" w:rsidP="0066111E">
      <w:pPr>
        <w:pStyle w:val="Paragraph"/>
      </w:pPr>
      <w:r w:rsidRPr="00342F90">
        <w:t xml:space="preserve">Caution: These estimate should be considered as developmental, as they may not be 100% robust, accurate and consistent in initial years of reporting.  </w:t>
      </w:r>
    </w:p>
    <w:p w14:paraId="36BA381D" w14:textId="1DD04BDD" w:rsidR="003169EA" w:rsidRDefault="003169EA" w:rsidP="0066111E">
      <w:pPr>
        <w:pStyle w:val="Paragraph"/>
      </w:pPr>
      <w:r>
        <w:t>EHLS is one of the PPF National Headline Indicators (NHIs), defined as:</w:t>
      </w:r>
    </w:p>
    <w:p w14:paraId="21077579" w14:textId="77777777" w:rsidR="003169EA" w:rsidRDefault="003169EA" w:rsidP="0066111E">
      <w:pPr>
        <w:pStyle w:val="Paragraph"/>
      </w:pPr>
      <w:r>
        <w:t>Realistic picture of available effective land supply which can contribute to the housing requirement and which can be developed within a 5-year period beyond the date of the Housing Land Audit. This land is in the ownership or control of a party which can be expected to develop it or release it for development. It is also free from, or there is a solid commitment to resolve any issues around physical constraints, contamination, deficit public funding, marketability and infrastructure. Housing is the sole preferred use of the land in planning terms or factors such as ownership and marketability point to housing as being a realistic option.</w:t>
      </w:r>
    </w:p>
    <w:p w14:paraId="546286E7" w14:textId="6789F8A1" w:rsidR="003169EA" w:rsidRDefault="003169EA" w:rsidP="0066111E">
      <w:pPr>
        <w:pStyle w:val="Paragraph"/>
      </w:pPr>
      <w:r>
        <w:t>These estimates are based on Housing Land Audits conducted by Local Authorities available at that point in time and may have been completed in previous years. This means EHLS estimates for some Local Authorities may be the same across different years.</w:t>
      </w:r>
    </w:p>
    <w:p w14:paraId="00C2A4FD" w14:textId="5B983154" w:rsidR="003169EA" w:rsidRDefault="003169EA" w:rsidP="0066111E">
      <w:pPr>
        <w:pStyle w:val="Paragraph"/>
      </w:pPr>
      <w:r>
        <w:t>Latest published national estimates of EHLS show 183,500 housing units as at March’14.</w:t>
      </w:r>
    </w:p>
    <w:p w14:paraId="4229F6DB" w14:textId="48451780" w:rsidR="002F6C9E" w:rsidRDefault="003169EA" w:rsidP="0066111E">
      <w:pPr>
        <w:pStyle w:val="Paragraph"/>
      </w:pPr>
      <w:r w:rsidRPr="00342F90">
        <w:t xml:space="preserve">National estimates of EHLS for March’15 to </w:t>
      </w:r>
      <w:r w:rsidR="004D7E11" w:rsidRPr="00342F90">
        <w:t>March’</w:t>
      </w:r>
      <w:r w:rsidR="004D7E11">
        <w:t>21</w:t>
      </w:r>
      <w:r w:rsidR="004D7E11" w:rsidRPr="00342F90">
        <w:t xml:space="preserve"> </w:t>
      </w:r>
      <w:r w:rsidRPr="00342F90">
        <w:t>have on-going data quality issues and may not be published.</w:t>
      </w:r>
    </w:p>
    <w:p w14:paraId="1DA35362" w14:textId="77777777" w:rsidR="00DA09D3" w:rsidRDefault="00DA09D3" w:rsidP="0066111E">
      <w:pPr>
        <w:pStyle w:val="Paragraph"/>
      </w:pPr>
    </w:p>
    <w:bookmarkEnd w:id="1"/>
    <w:p w14:paraId="1B380AE8" w14:textId="402E4A40" w:rsidR="006464A9" w:rsidRPr="00445FBF" w:rsidRDefault="006464A9" w:rsidP="00445FBF">
      <w:pPr>
        <w:tabs>
          <w:tab w:val="clear" w:pos="720"/>
          <w:tab w:val="clear" w:pos="1440"/>
          <w:tab w:val="clear" w:pos="2160"/>
          <w:tab w:val="clear" w:pos="2880"/>
          <w:tab w:val="clear" w:pos="4680"/>
          <w:tab w:val="clear" w:pos="5400"/>
          <w:tab w:val="clear" w:pos="9000"/>
        </w:tabs>
        <w:spacing w:line="240" w:lineRule="auto"/>
        <w:rPr>
          <w:rFonts w:cs="Arial"/>
          <w:color w:val="000000"/>
          <w:sz w:val="28"/>
          <w:szCs w:val="28"/>
          <w:lang w:eastAsia="en-GB"/>
        </w:rPr>
      </w:pPr>
      <w:r>
        <w:lastRenderedPageBreak/>
        <w:t xml:space="preserve">[Chart </w:t>
      </w:r>
      <w:r w:rsidR="00D5714F">
        <w:t>8</w:t>
      </w:r>
      <w:r w:rsidR="005A61CC">
        <w:t xml:space="preserve"> – Major Housing Developments, Average Decision Time (weeks)</w:t>
      </w:r>
      <w:r w:rsidR="002918EA">
        <w:t xml:space="preserve"> (Source: </w:t>
      </w:r>
      <w:r w:rsidR="002918EA" w:rsidRPr="002918EA">
        <w:rPr>
          <w:rFonts w:eastAsia="Times New Roman" w:cs="Arial"/>
          <w:color w:val="000000"/>
          <w:sz w:val="28"/>
          <w:szCs w:val="28"/>
          <w:lang w:val="en-GB" w:eastAsia="en-GB"/>
        </w:rPr>
        <w:t>Scottish Government</w:t>
      </w:r>
      <w:r w:rsidR="002918EA">
        <w:rPr>
          <w:rFonts w:eastAsia="Times New Roman" w:cs="Arial"/>
          <w:color w:val="000000"/>
          <w:sz w:val="28"/>
          <w:szCs w:val="28"/>
          <w:lang w:val="en-GB" w:eastAsia="en-GB"/>
        </w:rPr>
        <w:t xml:space="preserve"> </w:t>
      </w:r>
      <w:r w:rsidR="00C760AB">
        <w:rPr>
          <w:rFonts w:eastAsia="Times New Roman" w:cs="Arial"/>
          <w:color w:val="000000"/>
          <w:sz w:val="28"/>
          <w:szCs w:val="28"/>
          <w:lang w:val="en-GB" w:eastAsia="en-GB"/>
        </w:rPr>
        <w:t xml:space="preserve">- </w:t>
      </w:r>
      <w:r w:rsidR="00C760AB" w:rsidRPr="002918EA">
        <w:rPr>
          <w:rFonts w:eastAsia="Times New Roman" w:cs="Arial"/>
          <w:color w:val="000000"/>
          <w:sz w:val="28"/>
          <w:szCs w:val="28"/>
          <w:lang w:val="en-GB" w:eastAsia="en-GB"/>
        </w:rPr>
        <w:t>Planning</w:t>
      </w:r>
      <w:r w:rsidR="002918EA" w:rsidRPr="002918EA">
        <w:rPr>
          <w:rFonts w:eastAsia="Times New Roman" w:cs="Arial"/>
          <w:color w:val="000000"/>
          <w:sz w:val="28"/>
          <w:szCs w:val="28"/>
          <w:lang w:val="en-GB" w:eastAsia="en-GB"/>
        </w:rPr>
        <w:t xml:space="preserve"> Performance Statistics</w:t>
      </w:r>
      <w:r w:rsidR="002918EA">
        <w:rPr>
          <w:rFonts w:eastAsia="Times New Roman" w:cs="Arial"/>
          <w:color w:val="000000"/>
          <w:sz w:val="28"/>
          <w:szCs w:val="28"/>
          <w:lang w:val="en-GB" w:eastAsia="en-GB"/>
        </w:rPr>
        <w:t>)</w:t>
      </w:r>
      <w:r>
        <w:t>]</w:t>
      </w:r>
    </w:p>
    <w:p w14:paraId="416813DB" w14:textId="20D01959" w:rsidR="00A05226" w:rsidRDefault="00A05226" w:rsidP="0066111E">
      <w:pPr>
        <w:pStyle w:val="Paragraph"/>
      </w:pPr>
      <w:r>
        <w:rPr>
          <w:lang w:eastAsia="en-GB"/>
        </w:rPr>
        <w:drawing>
          <wp:inline distT="0" distB="0" distL="0" distR="0" wp14:anchorId="6A693356" wp14:editId="0CC1F007">
            <wp:extent cx="5984398" cy="3122295"/>
            <wp:effectExtent l="0" t="0" r="0" b="1905"/>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984398" cy="3122295"/>
                    </a:xfrm>
                    <a:prstGeom prst="rect">
                      <a:avLst/>
                    </a:prstGeom>
                  </pic:spPr>
                </pic:pic>
              </a:graphicData>
            </a:graphic>
          </wp:inline>
        </w:drawing>
      </w:r>
    </w:p>
    <w:p w14:paraId="743DDC63" w14:textId="021D04A8" w:rsidR="006464A9" w:rsidRDefault="006464A9" w:rsidP="0066111E">
      <w:pPr>
        <w:pStyle w:val="Paragraph"/>
      </w:pPr>
      <w:r>
        <w:t xml:space="preserve">[Chart </w:t>
      </w:r>
      <w:r w:rsidR="00D5714F">
        <w:t>9</w:t>
      </w:r>
      <w:r w:rsidR="005A61CC">
        <w:t xml:space="preserve"> - Local Housing Developments, Average Decision Time (weeks)</w:t>
      </w:r>
      <w:r w:rsidR="002918EA">
        <w:t xml:space="preserve"> (Source: </w:t>
      </w:r>
      <w:r w:rsidR="002918EA" w:rsidRPr="002918EA">
        <w:rPr>
          <w:rFonts w:cs="Arial"/>
          <w:color w:val="000000"/>
          <w:sz w:val="28"/>
          <w:szCs w:val="28"/>
          <w:lang w:eastAsia="en-GB"/>
        </w:rPr>
        <w:t>Scottish Government</w:t>
      </w:r>
      <w:r w:rsidR="002918EA">
        <w:rPr>
          <w:rFonts w:cs="Arial"/>
          <w:color w:val="000000"/>
          <w:sz w:val="28"/>
          <w:szCs w:val="28"/>
          <w:lang w:eastAsia="en-GB"/>
        </w:rPr>
        <w:t xml:space="preserve"> -</w:t>
      </w:r>
      <w:r w:rsidR="002918EA" w:rsidRPr="002918EA">
        <w:rPr>
          <w:rFonts w:cs="Arial"/>
          <w:color w:val="000000"/>
          <w:sz w:val="28"/>
          <w:szCs w:val="28"/>
          <w:lang w:eastAsia="en-GB"/>
        </w:rPr>
        <w:t xml:space="preserve"> Planning Performance Statistics</w:t>
      </w:r>
      <w:r w:rsidR="002918EA">
        <w:rPr>
          <w:rFonts w:cs="Arial"/>
          <w:color w:val="000000"/>
          <w:sz w:val="28"/>
          <w:szCs w:val="28"/>
          <w:lang w:eastAsia="en-GB"/>
        </w:rPr>
        <w:t>)</w:t>
      </w:r>
      <w:r w:rsidR="002918EA">
        <w:t>]</w:t>
      </w:r>
      <w:r>
        <w:t>]</w:t>
      </w:r>
    </w:p>
    <w:p w14:paraId="2ADFE4C9" w14:textId="668AC136" w:rsidR="00A05226" w:rsidRDefault="00A05226" w:rsidP="0066111E">
      <w:pPr>
        <w:pStyle w:val="Paragraph"/>
      </w:pPr>
      <w:r>
        <w:rPr>
          <w:lang w:eastAsia="en-GB"/>
        </w:rPr>
        <w:drawing>
          <wp:inline distT="0" distB="0" distL="0" distR="0" wp14:anchorId="74232202" wp14:editId="6BAD8E5A">
            <wp:extent cx="5993811" cy="3194685"/>
            <wp:effectExtent l="0" t="0" r="6985" b="5715"/>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993811" cy="3194685"/>
                    </a:xfrm>
                    <a:prstGeom prst="rect">
                      <a:avLst/>
                    </a:prstGeom>
                  </pic:spPr>
                </pic:pic>
              </a:graphicData>
            </a:graphic>
          </wp:inline>
        </w:drawing>
      </w:r>
    </w:p>
    <w:p w14:paraId="538733EB" w14:textId="1BE6272D" w:rsidR="00F82C3A" w:rsidRDefault="00F82C3A" w:rsidP="0066111E">
      <w:pPr>
        <w:pStyle w:val="Paragraph"/>
      </w:pPr>
      <w:r>
        <w:t>Major housing developments relate to those where a planning application is for 50 or more dwellings, or for a site that exceeds 2 hectares in size.</w:t>
      </w:r>
    </w:p>
    <w:p w14:paraId="11019FBE" w14:textId="14966086" w:rsidR="00F82C3A" w:rsidRDefault="00F82C3A" w:rsidP="0066111E">
      <w:pPr>
        <w:pStyle w:val="Paragraph"/>
      </w:pPr>
      <w:r>
        <w:t>These statistics relate to the average decision time of planning applications or the average life-span of the applications, where external factors affect the overall decision time.</w:t>
      </w:r>
    </w:p>
    <w:p w14:paraId="0659E3F7" w14:textId="77777777" w:rsidR="00F82C3A" w:rsidRDefault="00F82C3A" w:rsidP="0066111E">
      <w:pPr>
        <w:pStyle w:val="Paragraph"/>
      </w:pPr>
      <w:r>
        <w:t xml:space="preserve">Results are shown for all applications decided in a particular year and for those which were submitted post August 2009, when substantial changes were made to the planning </w:t>
      </w:r>
      <w:r>
        <w:lastRenderedPageBreak/>
        <w:t>system. These results provide a better reflection of the performance of the current planning system, by excluding a small number of old legacy cases.</w:t>
      </w:r>
    </w:p>
    <w:p w14:paraId="49137FA7" w14:textId="08EB3C64" w:rsidR="000F728E" w:rsidRDefault="00F82C3A" w:rsidP="0066111E">
      <w:pPr>
        <w:pStyle w:val="Paragraph"/>
      </w:pPr>
      <w:r>
        <w:t>The average decision time for major housing developments (post-Aug 2009) remained fairly stable between 2012/13 and 2015/16, ranging between 40.1 and 41.9 weeks. This was followed by an increase to 43.4 weeks in 2016/17 and a sharp decrease to 38.2 weeks in 2017/18 then 35.1 in 2018/19.</w:t>
      </w:r>
      <w:r w:rsidR="004D7E11">
        <w:t xml:space="preserve"> This then rose to 54.8 weeks in 2020/21, </w:t>
      </w:r>
      <w:r w:rsidR="00E12937">
        <w:t xml:space="preserve">and then </w:t>
      </w:r>
      <w:r w:rsidR="004D7E11">
        <w:t>falling slightly to 54.3 weeks in 2021/22.</w:t>
      </w:r>
      <w:r w:rsidR="000F728E">
        <w:t xml:space="preserve"> </w:t>
      </w:r>
    </w:p>
    <w:p w14:paraId="12676537" w14:textId="5DCC0FE7" w:rsidR="00F82C3A" w:rsidRDefault="000F728E" w:rsidP="0066111E">
      <w:pPr>
        <w:pStyle w:val="Paragraph"/>
      </w:pPr>
      <w:r w:rsidRPr="000F728E">
        <w:t>From mid-March 2020</w:t>
      </w:r>
      <w:r>
        <w:t>,</w:t>
      </w:r>
      <w:r w:rsidRPr="000F728E">
        <w:t xml:space="preserve"> planning application processing was impacted by the COVID-19 Pandemic. Some applications have longer decision times due to </w:t>
      </w:r>
      <w:r>
        <w:t>this</w:t>
      </w:r>
      <w:r w:rsidRPr="000F728E">
        <w:t>. These impacts should be considered when making comparisons with earlier years.</w:t>
      </w:r>
      <w:r>
        <w:t xml:space="preserve"> Also, </w:t>
      </w:r>
      <w:r w:rsidRPr="000F728E">
        <w:t>there are</w:t>
      </w:r>
      <w:r>
        <w:t xml:space="preserve"> typically</w:t>
      </w:r>
      <w:r w:rsidRPr="000F728E">
        <w:t xml:space="preserve"> only a small number of decisions made for major developments each quarter</w:t>
      </w:r>
      <w:r>
        <w:t xml:space="preserve">, </w:t>
      </w:r>
      <w:r w:rsidRPr="000F728E">
        <w:t>therefore average decision times are likely to vary greatly.</w:t>
      </w:r>
    </w:p>
    <w:p w14:paraId="4037D3F6" w14:textId="77777777" w:rsidR="00F82C3A" w:rsidRDefault="00F82C3A" w:rsidP="0066111E">
      <w:pPr>
        <w:pStyle w:val="Paragraph"/>
      </w:pPr>
      <w:r>
        <w:t>Local Housing developments are those that have less than 50 dwellings and with a site area that is less than 2 hectares.</w:t>
      </w:r>
    </w:p>
    <w:p w14:paraId="068344F7" w14:textId="386B3E85" w:rsidR="00F82C3A" w:rsidRDefault="00F82C3A" w:rsidP="0066111E">
      <w:pPr>
        <w:pStyle w:val="Paragraph"/>
      </w:pPr>
      <w:r>
        <w:t>For (post-Aug 2009) local housing developments, average decision times decreased from 17.2 weeks in 2012/13 to 12.2 weeks in 2017/18, and then remained similar to stand at 12.</w:t>
      </w:r>
      <w:r w:rsidR="004D7E11">
        <w:t xml:space="preserve">4 </w:t>
      </w:r>
      <w:r>
        <w:t xml:space="preserve">weeks in </w:t>
      </w:r>
      <w:r w:rsidR="0006550E">
        <w:t>2019/20</w:t>
      </w:r>
      <w:r w:rsidR="004D7E11">
        <w:t>, before rising each year to 15.7 weeks in 2021/22</w:t>
      </w:r>
      <w:r>
        <w:t>.</w:t>
      </w:r>
      <w:r w:rsidR="000F728E">
        <w:t xml:space="preserve"> These were also impacted by the COVID-19 pandemic from March 2020</w:t>
      </w:r>
    </w:p>
    <w:p w14:paraId="054A36A2" w14:textId="77777777" w:rsidR="00445FBF" w:rsidRDefault="00445FBF" w:rsidP="0066111E">
      <w:pPr>
        <w:pStyle w:val="Paragraph"/>
      </w:pPr>
    </w:p>
    <w:p w14:paraId="41CD4959" w14:textId="071DDBDA" w:rsidR="006E4219" w:rsidRPr="00445FBF" w:rsidRDefault="006E4219" w:rsidP="00445FBF">
      <w:pPr>
        <w:tabs>
          <w:tab w:val="clear" w:pos="720"/>
          <w:tab w:val="clear" w:pos="1440"/>
          <w:tab w:val="clear" w:pos="2160"/>
          <w:tab w:val="clear" w:pos="2880"/>
          <w:tab w:val="clear" w:pos="4680"/>
          <w:tab w:val="clear" w:pos="5400"/>
          <w:tab w:val="clear" w:pos="9000"/>
        </w:tabs>
        <w:spacing w:line="240" w:lineRule="auto"/>
        <w:rPr>
          <w:rFonts w:cs="Arial"/>
          <w:color w:val="000000"/>
          <w:sz w:val="28"/>
          <w:szCs w:val="28"/>
          <w:lang w:eastAsia="en-GB"/>
        </w:rPr>
      </w:pPr>
      <w:r>
        <w:t>[Chart</w:t>
      </w:r>
      <w:r w:rsidR="00A05226">
        <w:t xml:space="preserve"> 10</w:t>
      </w:r>
      <w:r w:rsidR="00E12937">
        <w:t xml:space="preserve"> – Construction </w:t>
      </w:r>
      <w:proofErr w:type="spellStart"/>
      <w:r w:rsidR="00E12937">
        <w:t>GVA</w:t>
      </w:r>
      <w:proofErr w:type="spellEnd"/>
      <w:r w:rsidR="002918EA">
        <w:t xml:space="preserve"> (Source: Scottish Government </w:t>
      </w:r>
      <w:proofErr w:type="gramStart"/>
      <w:r w:rsidR="002918EA">
        <w:t xml:space="preserve">-  </w:t>
      </w:r>
      <w:r w:rsidR="002918EA" w:rsidRPr="002918EA">
        <w:rPr>
          <w:rFonts w:eastAsia="Times New Roman" w:cs="Arial"/>
          <w:color w:val="000000"/>
          <w:sz w:val="28"/>
          <w:szCs w:val="28"/>
          <w:lang w:val="en-GB" w:eastAsia="en-GB"/>
        </w:rPr>
        <w:t>Economy</w:t>
      </w:r>
      <w:proofErr w:type="gramEnd"/>
      <w:r w:rsidR="002918EA" w:rsidRPr="002918EA">
        <w:rPr>
          <w:rFonts w:eastAsia="Times New Roman" w:cs="Arial"/>
          <w:color w:val="000000"/>
          <w:sz w:val="28"/>
          <w:szCs w:val="28"/>
          <w:lang w:val="en-GB" w:eastAsia="en-GB"/>
        </w:rPr>
        <w:t xml:space="preserve"> GDP Publication, Second Estimate of GDP</w:t>
      </w:r>
      <w:r w:rsidR="002918EA">
        <w:rPr>
          <w:rFonts w:eastAsia="Times New Roman" w:cs="Arial"/>
          <w:color w:val="000000"/>
          <w:sz w:val="28"/>
          <w:szCs w:val="28"/>
          <w:lang w:val="en-GB" w:eastAsia="en-GB"/>
        </w:rPr>
        <w:t>)</w:t>
      </w:r>
      <w:r>
        <w:t>]</w:t>
      </w:r>
    </w:p>
    <w:p w14:paraId="31731CC6" w14:textId="06B594D9" w:rsidR="00A05226" w:rsidRDefault="0048474D" w:rsidP="0066111E">
      <w:pPr>
        <w:pStyle w:val="Paragraph"/>
      </w:pPr>
      <w:r>
        <w:rPr>
          <w:lang w:eastAsia="en-GB"/>
        </w:rPr>
        <w:drawing>
          <wp:inline distT="0" distB="0" distL="0" distR="0" wp14:anchorId="7F1C012D" wp14:editId="0EA9A303">
            <wp:extent cx="6044590" cy="3405505"/>
            <wp:effectExtent l="0" t="0" r="0" b="4445"/>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044590" cy="3405505"/>
                    </a:xfrm>
                    <a:prstGeom prst="rect">
                      <a:avLst/>
                    </a:prstGeom>
                  </pic:spPr>
                </pic:pic>
              </a:graphicData>
            </a:graphic>
          </wp:inline>
        </w:drawing>
      </w:r>
    </w:p>
    <w:p w14:paraId="568C12B9" w14:textId="242B35F6" w:rsidR="00B77A80" w:rsidRDefault="00B77A80" w:rsidP="0066111E">
      <w:pPr>
        <w:pStyle w:val="Paragraph"/>
      </w:pPr>
      <w:r>
        <w:t>Construction GVA is made up of the following sectors: housing, infrastructure and other public, private industrial and private commercial sectors. The GVA measure includes both new construction as well as repair and maintenance.</w:t>
      </w:r>
    </w:p>
    <w:p w14:paraId="56B72EF4" w14:textId="6AEAC936" w:rsidR="00B77A80" w:rsidRDefault="00B77A80" w:rsidP="0066111E">
      <w:pPr>
        <w:pStyle w:val="Paragraph"/>
      </w:pPr>
      <w:r>
        <w:lastRenderedPageBreak/>
        <w:t xml:space="preserve">The trends show that that Construction Output was fairly stable between 2007 and 2008, before falling by </w:t>
      </w:r>
      <w:r w:rsidR="001F4C91">
        <w:t xml:space="preserve">14.9% </w:t>
      </w:r>
      <w:r>
        <w:t>in 2009, as the impact of the recession was felt.</w:t>
      </w:r>
    </w:p>
    <w:p w14:paraId="102BEAC3" w14:textId="4C3615DA" w:rsidR="00B77A80" w:rsidRDefault="00B77A80" w:rsidP="0066111E">
      <w:pPr>
        <w:pStyle w:val="Paragraph"/>
      </w:pPr>
      <w:r>
        <w:t xml:space="preserve">However, unlike new house building trends, construction output then </w:t>
      </w:r>
      <w:r w:rsidR="001F4C91">
        <w:t xml:space="preserve">partially </w:t>
      </w:r>
      <w:r>
        <w:t xml:space="preserve">recovered, increasing by </w:t>
      </w:r>
      <w:r w:rsidR="001F4C91">
        <w:t xml:space="preserve">8.8% </w:t>
      </w:r>
      <w:r>
        <w:t xml:space="preserve">between 2009 and 2011. The Scottish Government Economic Recovery Plan, which accelerated £346 million of Capital Funding contributed to the increase during this period. </w:t>
      </w:r>
    </w:p>
    <w:p w14:paraId="4910BA1E" w14:textId="036758BB" w:rsidR="00B77A80" w:rsidRDefault="00B77A80" w:rsidP="0066111E">
      <w:pPr>
        <w:pStyle w:val="Paragraph"/>
      </w:pPr>
      <w:r>
        <w:t xml:space="preserve">Since </w:t>
      </w:r>
      <w:r w:rsidR="004D7E11">
        <w:t>2009</w:t>
      </w:r>
      <w:r>
        <w:t>, construction output has</w:t>
      </w:r>
      <w:r w:rsidR="004D7E11">
        <w:t xml:space="preserve"> broadly</w:t>
      </w:r>
      <w:r>
        <w:t xml:space="preserve"> been increasing gradu</w:t>
      </w:r>
      <w:r w:rsidR="004D7E11">
        <w:t>ally,</w:t>
      </w:r>
      <w:r w:rsidR="006B2E18">
        <w:t xml:space="preserve"> </w:t>
      </w:r>
      <w:r w:rsidR="004D7E11">
        <w:t xml:space="preserve">up </w:t>
      </w:r>
      <w:r w:rsidR="001F4C91">
        <w:t xml:space="preserve">21.3% </w:t>
      </w:r>
      <w:r>
        <w:t xml:space="preserve">by 2017, reflecting a large programme of investment taking place across Scotland. Projects included the Forth Replacement Crossing, two hospitals in Glasgow (Queen Elizabeth University Hospital and the Royal Hospital for Children), the Borders Railway construction and the Schools for the Future building programme. Construction output </w:t>
      </w:r>
      <w:r w:rsidR="004D7E11">
        <w:t xml:space="preserve">then fell consistently until 2019, before a dramatic fall </w:t>
      </w:r>
      <w:r w:rsidR="009409D6">
        <w:t xml:space="preserve">of 21.5% </w:t>
      </w:r>
      <w:r w:rsidR="004D7E11">
        <w:t xml:space="preserve">in 2020, due to </w:t>
      </w:r>
      <w:r w:rsidR="00E12937">
        <w:t xml:space="preserve">the impacts of the </w:t>
      </w:r>
      <w:r w:rsidR="004D7E11">
        <w:t>coronavirus</w:t>
      </w:r>
      <w:r w:rsidR="00E12937">
        <w:t xml:space="preserve"> pandemic</w:t>
      </w:r>
      <w:r w:rsidR="004D7E11">
        <w:t xml:space="preserve">. </w:t>
      </w:r>
      <w:r w:rsidR="00E12937">
        <w:t>Output then</w:t>
      </w:r>
      <w:r w:rsidR="004D7E11">
        <w:t xml:space="preserve"> rose </w:t>
      </w:r>
      <w:r w:rsidR="009409D6">
        <w:t xml:space="preserve">by 15.1% </w:t>
      </w:r>
      <w:r w:rsidR="004D7E11">
        <w:t xml:space="preserve">in 2021, </w:t>
      </w:r>
      <w:r w:rsidR="006B2E18">
        <w:t xml:space="preserve">and is at level similar to </w:t>
      </w:r>
      <w:r w:rsidR="004D7E11">
        <w:t>2009.</w:t>
      </w:r>
    </w:p>
    <w:p w14:paraId="59B72D86" w14:textId="77777777" w:rsidR="00CA7F95" w:rsidRDefault="00CA7F95">
      <w:pPr>
        <w:tabs>
          <w:tab w:val="clear" w:pos="720"/>
          <w:tab w:val="clear" w:pos="1440"/>
          <w:tab w:val="clear" w:pos="2160"/>
          <w:tab w:val="clear" w:pos="2880"/>
          <w:tab w:val="clear" w:pos="4680"/>
          <w:tab w:val="clear" w:pos="5400"/>
          <w:tab w:val="clear" w:pos="9000"/>
        </w:tabs>
        <w:spacing w:line="240" w:lineRule="auto"/>
        <w:rPr>
          <w:rFonts w:eastAsia="Times New Roman"/>
          <w:b/>
          <w:sz w:val="44"/>
        </w:rPr>
      </w:pPr>
      <w:r>
        <w:br w:type="page"/>
      </w:r>
    </w:p>
    <w:p w14:paraId="321337DA" w14:textId="527D3C42" w:rsidR="001E75AA" w:rsidRDefault="001E75AA" w:rsidP="00A7128B">
      <w:pPr>
        <w:pStyle w:val="Heading1"/>
      </w:pPr>
      <w:r w:rsidRPr="001E75AA">
        <w:lastRenderedPageBreak/>
        <w:t>High Quality, Sustainable Homes</w:t>
      </w:r>
    </w:p>
    <w:p w14:paraId="499B55E4" w14:textId="73B3FFA0" w:rsidR="005A61CC" w:rsidRDefault="005A61CC" w:rsidP="005A61CC">
      <w:r>
        <w:t xml:space="preserve">[Table 2 – Summary Table on Indicator Measures for High Quality, Sustainable Homes] </w:t>
      </w:r>
    </w:p>
    <w:p w14:paraId="297D8C71" w14:textId="77777777" w:rsidR="005A61CC" w:rsidRPr="005A61CC" w:rsidRDefault="005A61CC" w:rsidP="00407994"/>
    <w:tbl>
      <w:tblPr>
        <w:tblStyle w:val="TableGrid"/>
        <w:tblW w:w="0" w:type="auto"/>
        <w:tblLook w:val="06A0" w:firstRow="1" w:lastRow="0" w:firstColumn="1" w:lastColumn="0" w:noHBand="1" w:noVBand="1"/>
      </w:tblPr>
      <w:tblGrid>
        <w:gridCol w:w="2358"/>
        <w:gridCol w:w="1675"/>
        <w:gridCol w:w="1416"/>
        <w:gridCol w:w="1634"/>
        <w:gridCol w:w="1309"/>
        <w:gridCol w:w="1230"/>
      </w:tblGrid>
      <w:tr w:rsidR="002918EA" w:rsidRPr="00CA1472" w14:paraId="1EE54A47" w14:textId="77777777" w:rsidTr="002918EA">
        <w:trPr>
          <w:trHeight w:val="324"/>
        </w:trPr>
        <w:tc>
          <w:tcPr>
            <w:tcW w:w="2358" w:type="dxa"/>
            <w:noWrap/>
            <w:hideMark/>
          </w:tcPr>
          <w:p w14:paraId="33ADD7E3" w14:textId="77777777" w:rsidR="006F3706" w:rsidRPr="00CA1472" w:rsidRDefault="006F3706" w:rsidP="009B6CD0">
            <w:pPr>
              <w:pStyle w:val="SGTableHeader"/>
            </w:pPr>
            <w:r w:rsidRPr="00CA1472">
              <w:t>Indicator</w:t>
            </w:r>
          </w:p>
        </w:tc>
        <w:tc>
          <w:tcPr>
            <w:tcW w:w="1675" w:type="dxa"/>
            <w:noWrap/>
            <w:hideMark/>
          </w:tcPr>
          <w:p w14:paraId="2F3FF7A8" w14:textId="77777777" w:rsidR="006F3706" w:rsidRPr="00CA1472" w:rsidRDefault="006F3706" w:rsidP="009B6CD0">
            <w:pPr>
              <w:pStyle w:val="SGTableHeader"/>
            </w:pPr>
            <w:r w:rsidRPr="00CA1472">
              <w:t>Previous Value</w:t>
            </w:r>
          </w:p>
        </w:tc>
        <w:tc>
          <w:tcPr>
            <w:tcW w:w="1416" w:type="dxa"/>
            <w:noWrap/>
            <w:hideMark/>
          </w:tcPr>
          <w:p w14:paraId="440CB9DA" w14:textId="77777777" w:rsidR="006F3706" w:rsidRPr="00CA1472" w:rsidRDefault="006F3706" w:rsidP="009B6CD0">
            <w:pPr>
              <w:pStyle w:val="SGTableHeader"/>
            </w:pPr>
            <w:r w:rsidRPr="00CA1472">
              <w:t>Latest Value</w:t>
            </w:r>
          </w:p>
        </w:tc>
        <w:tc>
          <w:tcPr>
            <w:tcW w:w="1634" w:type="dxa"/>
            <w:noWrap/>
            <w:hideMark/>
          </w:tcPr>
          <w:p w14:paraId="3742C786" w14:textId="77777777" w:rsidR="006F3706" w:rsidRPr="00CA1472" w:rsidRDefault="006F3706" w:rsidP="009B6CD0">
            <w:pPr>
              <w:pStyle w:val="SGTableHeader"/>
            </w:pPr>
            <w:r w:rsidRPr="00CA1472">
              <w:t>Performance</w:t>
            </w:r>
          </w:p>
        </w:tc>
        <w:tc>
          <w:tcPr>
            <w:tcW w:w="1309" w:type="dxa"/>
            <w:noWrap/>
            <w:hideMark/>
          </w:tcPr>
          <w:p w14:paraId="17ED25AA" w14:textId="77777777" w:rsidR="006F3706" w:rsidRPr="00CA1472" w:rsidRDefault="006F3706" w:rsidP="009B6CD0">
            <w:pPr>
              <w:pStyle w:val="SGTableHeader"/>
            </w:pPr>
            <w:r w:rsidRPr="00CA1472">
              <w:t>Previous Update</w:t>
            </w:r>
          </w:p>
        </w:tc>
        <w:tc>
          <w:tcPr>
            <w:tcW w:w="1230" w:type="dxa"/>
            <w:noWrap/>
            <w:hideMark/>
          </w:tcPr>
          <w:p w14:paraId="7FCAB742" w14:textId="77777777" w:rsidR="006F3706" w:rsidRPr="00CA1472" w:rsidRDefault="006F3706" w:rsidP="009B6CD0">
            <w:pPr>
              <w:pStyle w:val="SGTableHeader"/>
            </w:pPr>
            <w:r w:rsidRPr="00CA1472">
              <w:t>Latest Update</w:t>
            </w:r>
          </w:p>
        </w:tc>
      </w:tr>
      <w:tr w:rsidR="002918EA" w:rsidRPr="00CA1472" w14:paraId="520AB8A2" w14:textId="77777777" w:rsidTr="002918EA">
        <w:trPr>
          <w:trHeight w:val="696"/>
        </w:trPr>
        <w:tc>
          <w:tcPr>
            <w:tcW w:w="2358" w:type="dxa"/>
            <w:hideMark/>
          </w:tcPr>
          <w:p w14:paraId="5D5F3D77" w14:textId="72B69BF1" w:rsidR="002C73BA" w:rsidRPr="00CA1472" w:rsidRDefault="002C73BA" w:rsidP="002C73BA">
            <w:pPr>
              <w:pStyle w:val="SGTableText"/>
            </w:pPr>
            <w:proofErr w:type="spellStart"/>
            <w:r w:rsidRPr="00803933">
              <w:t>SHQS</w:t>
            </w:r>
            <w:proofErr w:type="spellEnd"/>
            <w:r w:rsidRPr="00803933">
              <w:t xml:space="preserve"> section on Healthy, Safe and Secure (% of homes passing)</w:t>
            </w:r>
          </w:p>
        </w:tc>
        <w:tc>
          <w:tcPr>
            <w:tcW w:w="1675" w:type="dxa"/>
            <w:hideMark/>
          </w:tcPr>
          <w:p w14:paraId="29C5D67F" w14:textId="48C86BC8" w:rsidR="002C73BA" w:rsidRPr="00CA1472" w:rsidRDefault="002C73BA" w:rsidP="002C73BA">
            <w:pPr>
              <w:pStyle w:val="SGTableText"/>
            </w:pPr>
            <w:r w:rsidRPr="00803933">
              <w:t>86.5%</w:t>
            </w:r>
          </w:p>
        </w:tc>
        <w:tc>
          <w:tcPr>
            <w:tcW w:w="1416" w:type="dxa"/>
            <w:hideMark/>
          </w:tcPr>
          <w:p w14:paraId="25C29EEE" w14:textId="441B9EFE" w:rsidR="002C73BA" w:rsidRPr="00CA1472" w:rsidRDefault="002C73BA" w:rsidP="002C73BA">
            <w:pPr>
              <w:pStyle w:val="SGTableText"/>
            </w:pPr>
            <w:r w:rsidRPr="00803933">
              <w:t>86.3%</w:t>
            </w:r>
          </w:p>
        </w:tc>
        <w:tc>
          <w:tcPr>
            <w:tcW w:w="1634" w:type="dxa"/>
            <w:hideMark/>
          </w:tcPr>
          <w:p w14:paraId="3657CD4E" w14:textId="3B17339F" w:rsidR="002C73BA" w:rsidRPr="002C73BA" w:rsidRDefault="000F728E" w:rsidP="002C73BA">
            <w:pPr>
              <w:pStyle w:val="SGTableText"/>
              <w:rPr>
                <w:rFonts w:ascii="Webdings" w:hAnsi="Webdings"/>
                <w:b/>
                <w:bCs/>
                <w:color w:val="F79646" w:themeColor="accent6"/>
                <w:sz w:val="40"/>
                <w:szCs w:val="40"/>
              </w:rPr>
            </w:pPr>
            <w:r>
              <w:t>Maintaining</w:t>
            </w:r>
          </w:p>
        </w:tc>
        <w:tc>
          <w:tcPr>
            <w:tcW w:w="1309" w:type="dxa"/>
            <w:hideMark/>
          </w:tcPr>
          <w:p w14:paraId="616BEFB1" w14:textId="6EBA8BF1" w:rsidR="002C73BA" w:rsidRPr="00CA1472" w:rsidRDefault="002C73BA" w:rsidP="002C73BA">
            <w:pPr>
              <w:pStyle w:val="SGTableText"/>
            </w:pPr>
            <w:r w:rsidRPr="00803933">
              <w:t>2018</w:t>
            </w:r>
          </w:p>
        </w:tc>
        <w:tc>
          <w:tcPr>
            <w:tcW w:w="1230" w:type="dxa"/>
            <w:hideMark/>
          </w:tcPr>
          <w:p w14:paraId="04D748A6" w14:textId="2414ED7C" w:rsidR="002C73BA" w:rsidRPr="00CA1472" w:rsidRDefault="002C73BA" w:rsidP="002C73BA">
            <w:pPr>
              <w:pStyle w:val="SGTableText"/>
            </w:pPr>
            <w:r w:rsidRPr="00803933">
              <w:t>2019</w:t>
            </w:r>
          </w:p>
        </w:tc>
      </w:tr>
      <w:tr w:rsidR="002918EA" w:rsidRPr="00CA1472" w14:paraId="742F7B43" w14:textId="77777777" w:rsidTr="002918EA">
        <w:trPr>
          <w:trHeight w:val="696"/>
        </w:trPr>
        <w:tc>
          <w:tcPr>
            <w:tcW w:w="2358" w:type="dxa"/>
            <w:hideMark/>
          </w:tcPr>
          <w:p w14:paraId="0059FEC4" w14:textId="359AB795" w:rsidR="002C73BA" w:rsidRPr="00CA1472" w:rsidRDefault="002C73BA" w:rsidP="002C73BA">
            <w:pPr>
              <w:pStyle w:val="SGTableText"/>
            </w:pPr>
            <w:r w:rsidRPr="00803933">
              <w:t>Fuel Poverty (rate)</w:t>
            </w:r>
          </w:p>
        </w:tc>
        <w:tc>
          <w:tcPr>
            <w:tcW w:w="1675" w:type="dxa"/>
            <w:hideMark/>
          </w:tcPr>
          <w:p w14:paraId="178F4580" w14:textId="2432DC4B" w:rsidR="002C73BA" w:rsidRPr="00CA1472" w:rsidRDefault="00146F51" w:rsidP="002C73BA">
            <w:pPr>
              <w:pStyle w:val="SGTableText"/>
            </w:pPr>
            <w:r>
              <w:t>27.0</w:t>
            </w:r>
            <w:r w:rsidR="002C73BA" w:rsidRPr="00803933">
              <w:t>%</w:t>
            </w:r>
          </w:p>
        </w:tc>
        <w:tc>
          <w:tcPr>
            <w:tcW w:w="1416" w:type="dxa"/>
            <w:hideMark/>
          </w:tcPr>
          <w:p w14:paraId="6E69FDFD" w14:textId="4E39E81C" w:rsidR="002C73BA" w:rsidRPr="00CA1472" w:rsidRDefault="00146F51" w:rsidP="002C73BA">
            <w:pPr>
              <w:pStyle w:val="SGTableText"/>
            </w:pPr>
            <w:r>
              <w:t>35.0</w:t>
            </w:r>
            <w:r w:rsidR="002C73BA" w:rsidRPr="00803933">
              <w:t>%</w:t>
            </w:r>
          </w:p>
        </w:tc>
        <w:tc>
          <w:tcPr>
            <w:tcW w:w="1634" w:type="dxa"/>
            <w:hideMark/>
          </w:tcPr>
          <w:p w14:paraId="7341CDD9" w14:textId="3E0D4E82" w:rsidR="002C73BA" w:rsidRPr="002C73BA" w:rsidRDefault="00146F51" w:rsidP="002C73BA">
            <w:pPr>
              <w:pStyle w:val="SGTableText"/>
              <w:rPr>
                <w:rFonts w:ascii="Webdings" w:hAnsi="Webdings"/>
                <w:color w:val="F79646" w:themeColor="accent6"/>
                <w:sz w:val="40"/>
                <w:szCs w:val="40"/>
              </w:rPr>
            </w:pPr>
            <w:r>
              <w:t xml:space="preserve">Worsening </w:t>
            </w:r>
          </w:p>
        </w:tc>
        <w:tc>
          <w:tcPr>
            <w:tcW w:w="1309" w:type="dxa"/>
            <w:hideMark/>
          </w:tcPr>
          <w:p w14:paraId="3E82E250" w14:textId="1F89B209" w:rsidR="002C73BA" w:rsidRPr="00CA1472" w:rsidRDefault="00146F51" w:rsidP="002C73BA">
            <w:pPr>
              <w:pStyle w:val="SGTableText"/>
            </w:pPr>
            <w:r>
              <w:t>October 2021</w:t>
            </w:r>
          </w:p>
        </w:tc>
        <w:tc>
          <w:tcPr>
            <w:tcW w:w="1230" w:type="dxa"/>
            <w:hideMark/>
          </w:tcPr>
          <w:p w14:paraId="3E30E0DE" w14:textId="58604ED9" w:rsidR="00146F51" w:rsidRPr="00CA1472" w:rsidRDefault="00146F51" w:rsidP="002C73BA">
            <w:pPr>
              <w:pStyle w:val="SGTableText"/>
            </w:pPr>
            <w:r>
              <w:t>October 2022</w:t>
            </w:r>
          </w:p>
        </w:tc>
      </w:tr>
      <w:tr w:rsidR="002918EA" w:rsidRPr="00CA1472" w14:paraId="7A2257DF" w14:textId="77777777" w:rsidTr="002918EA">
        <w:trPr>
          <w:trHeight w:val="696"/>
        </w:trPr>
        <w:tc>
          <w:tcPr>
            <w:tcW w:w="2358" w:type="dxa"/>
            <w:hideMark/>
          </w:tcPr>
          <w:p w14:paraId="5C98B8A4" w14:textId="3E501D97" w:rsidR="002C73BA" w:rsidRPr="00CA1472" w:rsidRDefault="002C73BA" w:rsidP="002C73BA">
            <w:pPr>
              <w:pStyle w:val="SGTableText"/>
            </w:pPr>
            <w:r w:rsidRPr="00803933">
              <w:t xml:space="preserve">Energy Efficiency - Median SAP 2012 rating </w:t>
            </w:r>
          </w:p>
        </w:tc>
        <w:tc>
          <w:tcPr>
            <w:tcW w:w="1675" w:type="dxa"/>
            <w:hideMark/>
          </w:tcPr>
          <w:p w14:paraId="69F05CCB" w14:textId="715C8AFD" w:rsidR="002C73BA" w:rsidRPr="00CA1472" w:rsidRDefault="002C73BA" w:rsidP="002C73BA">
            <w:pPr>
              <w:pStyle w:val="SGTableText"/>
            </w:pPr>
            <w:r w:rsidRPr="00803933">
              <w:t>67</w:t>
            </w:r>
          </w:p>
        </w:tc>
        <w:tc>
          <w:tcPr>
            <w:tcW w:w="1416" w:type="dxa"/>
            <w:hideMark/>
          </w:tcPr>
          <w:p w14:paraId="4524C331" w14:textId="515B6E5F" w:rsidR="002C73BA" w:rsidRPr="00CA1472" w:rsidRDefault="002C73BA" w:rsidP="002C73BA">
            <w:pPr>
              <w:pStyle w:val="SGTableText"/>
            </w:pPr>
            <w:r w:rsidRPr="00803933">
              <w:t>67</w:t>
            </w:r>
          </w:p>
        </w:tc>
        <w:tc>
          <w:tcPr>
            <w:tcW w:w="1634" w:type="dxa"/>
            <w:hideMark/>
          </w:tcPr>
          <w:p w14:paraId="2E611AC6" w14:textId="7CC920B1" w:rsidR="002C73BA" w:rsidRPr="002C73BA" w:rsidRDefault="000F728E" w:rsidP="002C73BA">
            <w:pPr>
              <w:pStyle w:val="SGTableText"/>
              <w:rPr>
                <w:rFonts w:ascii="Webdings" w:hAnsi="Webdings"/>
                <w:b/>
                <w:bCs/>
                <w:color w:val="F79646" w:themeColor="accent6"/>
                <w:sz w:val="40"/>
                <w:szCs w:val="40"/>
              </w:rPr>
            </w:pPr>
            <w:r>
              <w:t>Maintaining</w:t>
            </w:r>
          </w:p>
        </w:tc>
        <w:tc>
          <w:tcPr>
            <w:tcW w:w="1309" w:type="dxa"/>
            <w:hideMark/>
          </w:tcPr>
          <w:p w14:paraId="5E4CEDF4" w14:textId="3B174A60" w:rsidR="002C73BA" w:rsidRPr="00CA1472" w:rsidRDefault="002C73BA" w:rsidP="002C73BA">
            <w:pPr>
              <w:pStyle w:val="SGTableText"/>
            </w:pPr>
            <w:r w:rsidRPr="00803933">
              <w:t>2018</w:t>
            </w:r>
          </w:p>
        </w:tc>
        <w:tc>
          <w:tcPr>
            <w:tcW w:w="1230" w:type="dxa"/>
            <w:hideMark/>
          </w:tcPr>
          <w:p w14:paraId="4851832E" w14:textId="4B254C8F" w:rsidR="002C73BA" w:rsidRPr="00CA1472" w:rsidRDefault="002C73BA" w:rsidP="002C73BA">
            <w:pPr>
              <w:pStyle w:val="SGTableText"/>
            </w:pPr>
            <w:r w:rsidRPr="00803933">
              <w:t>2019</w:t>
            </w:r>
          </w:p>
        </w:tc>
      </w:tr>
      <w:tr w:rsidR="002918EA" w:rsidRPr="00CA1472" w14:paraId="31F3E87F" w14:textId="77777777" w:rsidTr="002918EA">
        <w:trPr>
          <w:trHeight w:val="696"/>
        </w:trPr>
        <w:tc>
          <w:tcPr>
            <w:tcW w:w="2358" w:type="dxa"/>
            <w:hideMark/>
          </w:tcPr>
          <w:p w14:paraId="1291EFE3" w14:textId="4A626FFF" w:rsidR="002C73BA" w:rsidRPr="00CA1472" w:rsidRDefault="002C73BA" w:rsidP="002C73BA">
            <w:pPr>
              <w:pStyle w:val="SGTableText"/>
            </w:pPr>
            <w:r w:rsidRPr="00803933">
              <w:t>Disrepair to Critical Elements (% of homes)</w:t>
            </w:r>
          </w:p>
        </w:tc>
        <w:tc>
          <w:tcPr>
            <w:tcW w:w="1675" w:type="dxa"/>
            <w:hideMark/>
          </w:tcPr>
          <w:p w14:paraId="03ACA445" w14:textId="72FDAB5F" w:rsidR="002C73BA" w:rsidRPr="00CA1472" w:rsidRDefault="002C73BA" w:rsidP="002C73BA">
            <w:pPr>
              <w:pStyle w:val="SGTableText"/>
            </w:pPr>
            <w:r w:rsidRPr="00803933">
              <w:t>56.9%</w:t>
            </w:r>
          </w:p>
        </w:tc>
        <w:tc>
          <w:tcPr>
            <w:tcW w:w="1416" w:type="dxa"/>
            <w:hideMark/>
          </w:tcPr>
          <w:p w14:paraId="1126A583" w14:textId="23CF93B2" w:rsidR="002C73BA" w:rsidRPr="00CA1472" w:rsidRDefault="002C73BA" w:rsidP="002C73BA">
            <w:pPr>
              <w:pStyle w:val="SGTableText"/>
            </w:pPr>
            <w:r w:rsidRPr="00803933">
              <w:t>51.9%</w:t>
            </w:r>
          </w:p>
        </w:tc>
        <w:tc>
          <w:tcPr>
            <w:tcW w:w="1634" w:type="dxa"/>
            <w:hideMark/>
          </w:tcPr>
          <w:p w14:paraId="12A86025" w14:textId="4AF8163E" w:rsidR="002C73BA" w:rsidRPr="002C73BA" w:rsidRDefault="000F728E" w:rsidP="002C73BA">
            <w:pPr>
              <w:pStyle w:val="SGTableText"/>
              <w:rPr>
                <w:rFonts w:ascii="Webdings" w:hAnsi="Webdings"/>
                <w:color w:val="F79646" w:themeColor="accent6"/>
                <w:sz w:val="40"/>
                <w:szCs w:val="40"/>
              </w:rPr>
            </w:pPr>
            <w:r>
              <w:t>Improving</w:t>
            </w:r>
          </w:p>
        </w:tc>
        <w:tc>
          <w:tcPr>
            <w:tcW w:w="1309" w:type="dxa"/>
            <w:hideMark/>
          </w:tcPr>
          <w:p w14:paraId="607D1ED7" w14:textId="40EBE757" w:rsidR="002C73BA" w:rsidRPr="00CA1472" w:rsidRDefault="002C73BA" w:rsidP="002C73BA">
            <w:pPr>
              <w:pStyle w:val="SGTableText"/>
            </w:pPr>
            <w:r w:rsidRPr="00803933">
              <w:t>2018</w:t>
            </w:r>
          </w:p>
        </w:tc>
        <w:tc>
          <w:tcPr>
            <w:tcW w:w="1230" w:type="dxa"/>
            <w:hideMark/>
          </w:tcPr>
          <w:p w14:paraId="3B150F2C" w14:textId="478A8D9F" w:rsidR="002C73BA" w:rsidRPr="00CA1472" w:rsidRDefault="002C73BA" w:rsidP="002C73BA">
            <w:pPr>
              <w:pStyle w:val="SGTableText"/>
            </w:pPr>
            <w:r w:rsidRPr="00803933">
              <w:t>2019</w:t>
            </w:r>
          </w:p>
        </w:tc>
      </w:tr>
      <w:tr w:rsidR="002918EA" w:rsidRPr="00CA1472" w14:paraId="32DDAB78" w14:textId="77777777" w:rsidTr="002918EA">
        <w:trPr>
          <w:trHeight w:val="585"/>
        </w:trPr>
        <w:tc>
          <w:tcPr>
            <w:tcW w:w="2358" w:type="dxa"/>
            <w:hideMark/>
          </w:tcPr>
          <w:p w14:paraId="752B1DFC" w14:textId="1436FA67" w:rsidR="002C73BA" w:rsidRPr="00CA1472" w:rsidRDefault="002C73BA" w:rsidP="002C73BA">
            <w:pPr>
              <w:pStyle w:val="SGTableText"/>
            </w:pPr>
            <w:r w:rsidRPr="00803933">
              <w:t>Satisfaction with condition of the home (</w:t>
            </w:r>
            <w:proofErr w:type="spellStart"/>
            <w:r w:rsidRPr="00803933">
              <w:t>SHCS</w:t>
            </w:r>
            <w:proofErr w:type="spellEnd"/>
            <w:r w:rsidRPr="00803933">
              <w:t>) (% of households)</w:t>
            </w:r>
          </w:p>
        </w:tc>
        <w:tc>
          <w:tcPr>
            <w:tcW w:w="1675" w:type="dxa"/>
            <w:hideMark/>
          </w:tcPr>
          <w:p w14:paraId="122A4230" w14:textId="1D6C2426" w:rsidR="002C73BA" w:rsidRPr="00CA1472" w:rsidRDefault="002C73BA" w:rsidP="002C73BA">
            <w:pPr>
              <w:pStyle w:val="SGTableText"/>
            </w:pPr>
            <w:r w:rsidRPr="00803933">
              <w:t>82.4%</w:t>
            </w:r>
          </w:p>
        </w:tc>
        <w:tc>
          <w:tcPr>
            <w:tcW w:w="1416" w:type="dxa"/>
            <w:hideMark/>
          </w:tcPr>
          <w:p w14:paraId="7A39E5CE" w14:textId="7C768054" w:rsidR="002C73BA" w:rsidRPr="00CA1472" w:rsidRDefault="002C73BA" w:rsidP="002C73BA">
            <w:pPr>
              <w:pStyle w:val="SGTableText"/>
            </w:pPr>
            <w:r w:rsidRPr="00803933">
              <w:t>81.8%</w:t>
            </w:r>
          </w:p>
        </w:tc>
        <w:tc>
          <w:tcPr>
            <w:tcW w:w="1634" w:type="dxa"/>
            <w:hideMark/>
          </w:tcPr>
          <w:p w14:paraId="1A31FCC9" w14:textId="2A7A30C0" w:rsidR="002C73BA" w:rsidRPr="002C73BA" w:rsidRDefault="000F728E" w:rsidP="002C73BA">
            <w:pPr>
              <w:pStyle w:val="SGTableText"/>
              <w:rPr>
                <w:rFonts w:ascii="Webdings" w:hAnsi="Webdings"/>
                <w:b/>
                <w:bCs/>
                <w:color w:val="F79646" w:themeColor="accent6"/>
                <w:sz w:val="40"/>
                <w:szCs w:val="40"/>
              </w:rPr>
            </w:pPr>
            <w:r>
              <w:t>Maintaining</w:t>
            </w:r>
          </w:p>
        </w:tc>
        <w:tc>
          <w:tcPr>
            <w:tcW w:w="1309" w:type="dxa"/>
            <w:hideMark/>
          </w:tcPr>
          <w:p w14:paraId="0ABB62B2" w14:textId="0D501EBB" w:rsidR="002C73BA" w:rsidRPr="00CA1472" w:rsidRDefault="002C73BA" w:rsidP="002C73BA">
            <w:pPr>
              <w:pStyle w:val="SGTableText"/>
            </w:pPr>
            <w:r w:rsidRPr="00803933">
              <w:t>2018</w:t>
            </w:r>
          </w:p>
        </w:tc>
        <w:tc>
          <w:tcPr>
            <w:tcW w:w="1230" w:type="dxa"/>
            <w:hideMark/>
          </w:tcPr>
          <w:p w14:paraId="51C5F891" w14:textId="7F99913F" w:rsidR="002C73BA" w:rsidRPr="00CA1472" w:rsidRDefault="002C73BA" w:rsidP="002C73BA">
            <w:pPr>
              <w:pStyle w:val="SGTableText"/>
            </w:pPr>
            <w:r w:rsidRPr="00803933">
              <w:t>2019</w:t>
            </w:r>
          </w:p>
        </w:tc>
      </w:tr>
      <w:tr w:rsidR="002918EA" w:rsidRPr="00CA1472" w14:paraId="402172AE" w14:textId="77777777" w:rsidTr="002918EA">
        <w:trPr>
          <w:trHeight w:val="585"/>
        </w:trPr>
        <w:tc>
          <w:tcPr>
            <w:tcW w:w="2358" w:type="dxa"/>
            <w:hideMark/>
          </w:tcPr>
          <w:p w14:paraId="7D07D76F" w14:textId="06BC9D2C" w:rsidR="002C73BA" w:rsidRPr="00CA1472" w:rsidRDefault="002C73BA" w:rsidP="002C73BA">
            <w:pPr>
              <w:pStyle w:val="SGTableText"/>
            </w:pPr>
            <w:r w:rsidRPr="00803933">
              <w:t xml:space="preserve">% of people with access to green or blue space (5 min walk or </w:t>
            </w:r>
            <w:proofErr w:type="gramStart"/>
            <w:r w:rsidRPr="00803933">
              <w:t>less)  -</w:t>
            </w:r>
            <w:proofErr w:type="gramEnd"/>
            <w:r w:rsidRPr="00803933">
              <w:t xml:space="preserve"> (</w:t>
            </w:r>
            <w:proofErr w:type="spellStart"/>
            <w:r w:rsidRPr="00803933">
              <w:t>NPF</w:t>
            </w:r>
            <w:proofErr w:type="spellEnd"/>
            <w:r w:rsidRPr="00803933">
              <w:t xml:space="preserve"> National Indicator)</w:t>
            </w:r>
          </w:p>
        </w:tc>
        <w:tc>
          <w:tcPr>
            <w:tcW w:w="1675" w:type="dxa"/>
            <w:hideMark/>
          </w:tcPr>
          <w:p w14:paraId="30E0AA0C" w14:textId="7DB88837" w:rsidR="002C73BA" w:rsidRPr="00CA1472" w:rsidRDefault="002C73BA" w:rsidP="002C73BA">
            <w:pPr>
              <w:pStyle w:val="SGTableText"/>
            </w:pPr>
            <w:r w:rsidRPr="00803933">
              <w:t>65.3%</w:t>
            </w:r>
          </w:p>
        </w:tc>
        <w:tc>
          <w:tcPr>
            <w:tcW w:w="1416" w:type="dxa"/>
            <w:hideMark/>
          </w:tcPr>
          <w:p w14:paraId="35E8576A" w14:textId="6AD223B7" w:rsidR="002C73BA" w:rsidRPr="00CA1472" w:rsidRDefault="00502C2E" w:rsidP="002C73BA">
            <w:pPr>
              <w:pStyle w:val="SGTableText"/>
            </w:pPr>
            <w:r>
              <w:t>65.5</w:t>
            </w:r>
            <w:r w:rsidR="002C73BA" w:rsidRPr="00803933">
              <w:t>%</w:t>
            </w:r>
          </w:p>
        </w:tc>
        <w:tc>
          <w:tcPr>
            <w:tcW w:w="1634" w:type="dxa"/>
            <w:hideMark/>
          </w:tcPr>
          <w:p w14:paraId="2D6E5B2B" w14:textId="2CAD02A1" w:rsidR="002C73BA" w:rsidRPr="002C73BA" w:rsidRDefault="000F728E" w:rsidP="002C73BA">
            <w:pPr>
              <w:pStyle w:val="SGTableText"/>
              <w:rPr>
                <w:rFonts w:ascii="Webdings" w:hAnsi="Webdings"/>
                <w:color w:val="F79646" w:themeColor="accent6"/>
                <w:sz w:val="40"/>
                <w:szCs w:val="40"/>
              </w:rPr>
            </w:pPr>
            <w:r>
              <w:t>Maintaining</w:t>
            </w:r>
          </w:p>
        </w:tc>
        <w:tc>
          <w:tcPr>
            <w:tcW w:w="1309" w:type="dxa"/>
            <w:hideMark/>
          </w:tcPr>
          <w:p w14:paraId="7DAC5C68" w14:textId="56765A6A" w:rsidR="002C73BA" w:rsidRPr="00CA1472" w:rsidRDefault="002C73BA" w:rsidP="002C73BA">
            <w:pPr>
              <w:pStyle w:val="SGTableText"/>
            </w:pPr>
            <w:r w:rsidRPr="00803933">
              <w:t>2018</w:t>
            </w:r>
          </w:p>
        </w:tc>
        <w:tc>
          <w:tcPr>
            <w:tcW w:w="1230" w:type="dxa"/>
            <w:hideMark/>
          </w:tcPr>
          <w:p w14:paraId="5861EF2D" w14:textId="2291B557" w:rsidR="002C73BA" w:rsidRPr="00CA1472" w:rsidRDefault="002C73BA" w:rsidP="002C73BA">
            <w:pPr>
              <w:pStyle w:val="SGTableText"/>
            </w:pPr>
            <w:r w:rsidRPr="00803933">
              <w:t>2019</w:t>
            </w:r>
          </w:p>
        </w:tc>
      </w:tr>
    </w:tbl>
    <w:p w14:paraId="3E21E6E0" w14:textId="47B9B4E3" w:rsidR="006464A9" w:rsidRDefault="00ED5AD4" w:rsidP="00ED5AD4">
      <w:pPr>
        <w:pStyle w:val="Heading2"/>
      </w:pPr>
      <w:r w:rsidRPr="00ED5AD4">
        <w:t>Safe</w:t>
      </w:r>
    </w:p>
    <w:p w14:paraId="3A5D4394" w14:textId="3A98774A" w:rsidR="00ED5AD4" w:rsidRDefault="00ED5AD4" w:rsidP="00445FBF">
      <w:pPr>
        <w:tabs>
          <w:tab w:val="clear" w:pos="720"/>
          <w:tab w:val="clear" w:pos="1440"/>
          <w:tab w:val="clear" w:pos="2160"/>
          <w:tab w:val="clear" w:pos="2880"/>
          <w:tab w:val="clear" w:pos="4680"/>
          <w:tab w:val="clear" w:pos="5400"/>
          <w:tab w:val="clear" w:pos="9000"/>
        </w:tabs>
        <w:spacing w:line="240" w:lineRule="auto"/>
      </w:pPr>
      <w:r>
        <w:t>[Chart 1</w:t>
      </w:r>
      <w:r w:rsidR="00287137">
        <w:t>1</w:t>
      </w:r>
      <w:r w:rsidR="005A61CC">
        <w:t xml:space="preserve"> – Percentage of Houses Passing the Healthy, Safe and Secure Section of the </w:t>
      </w:r>
      <w:proofErr w:type="spellStart"/>
      <w:r w:rsidR="005A61CC">
        <w:t>SHQS</w:t>
      </w:r>
      <w:proofErr w:type="spellEnd"/>
      <w:r w:rsidR="002918EA">
        <w:t xml:space="preserve"> (Source: Scottish Government </w:t>
      </w:r>
      <w:proofErr w:type="gramStart"/>
      <w:r w:rsidR="002918EA">
        <w:t xml:space="preserve">-  </w:t>
      </w:r>
      <w:r w:rsidR="002918EA" w:rsidRPr="002918EA">
        <w:rPr>
          <w:rFonts w:eastAsia="Times New Roman" w:cs="Arial"/>
          <w:color w:val="000000"/>
          <w:sz w:val="28"/>
          <w:szCs w:val="28"/>
          <w:lang w:val="en-GB" w:eastAsia="en-GB"/>
        </w:rPr>
        <w:t>Scottish</w:t>
      </w:r>
      <w:proofErr w:type="gramEnd"/>
      <w:r w:rsidR="002918EA" w:rsidRPr="002918EA">
        <w:rPr>
          <w:rFonts w:eastAsia="Times New Roman" w:cs="Arial"/>
          <w:color w:val="000000"/>
          <w:sz w:val="28"/>
          <w:szCs w:val="28"/>
          <w:lang w:val="en-GB" w:eastAsia="en-GB"/>
        </w:rPr>
        <w:t xml:space="preserve"> House Conditions Survey</w:t>
      </w:r>
      <w:r w:rsidR="002918EA">
        <w:rPr>
          <w:rFonts w:eastAsia="Times New Roman" w:cs="Arial"/>
          <w:color w:val="000000"/>
          <w:sz w:val="28"/>
          <w:szCs w:val="28"/>
          <w:lang w:val="en-GB" w:eastAsia="en-GB"/>
        </w:rPr>
        <w:t>)</w:t>
      </w:r>
      <w:r>
        <w:t>]</w:t>
      </w:r>
    </w:p>
    <w:p w14:paraId="22CA0680" w14:textId="647B323C" w:rsidR="00485CF0" w:rsidRDefault="00FD229F" w:rsidP="0066111E">
      <w:pPr>
        <w:pStyle w:val="Paragraph"/>
      </w:pPr>
      <w:r>
        <w:rPr>
          <w:lang w:eastAsia="en-GB"/>
        </w:rPr>
        <w:lastRenderedPageBreak/>
        <w:drawing>
          <wp:inline distT="0" distB="0" distL="0" distR="0" wp14:anchorId="65430CA6" wp14:editId="0D85F89A">
            <wp:extent cx="5992876" cy="2698750"/>
            <wp:effectExtent l="0" t="0" r="8255" b="635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992876" cy="2698750"/>
                    </a:xfrm>
                    <a:prstGeom prst="rect">
                      <a:avLst/>
                    </a:prstGeom>
                  </pic:spPr>
                </pic:pic>
              </a:graphicData>
            </a:graphic>
          </wp:inline>
        </w:drawing>
      </w:r>
    </w:p>
    <w:p w14:paraId="48C1C773" w14:textId="34D9183C" w:rsidR="00455FEA" w:rsidRDefault="00455FEA" w:rsidP="0066111E">
      <w:pPr>
        <w:pStyle w:val="Paragraph"/>
      </w:pPr>
      <w:r>
        <w:t>The percentage of houses passing the Scottish Housing Quality Standard (SHQS) on health, safety and security increased by 3.2</w:t>
      </w:r>
      <w:r w:rsidR="004D7E11">
        <w:t xml:space="preserve"> percentage points</w:t>
      </w:r>
      <w:r>
        <w:t xml:space="preserve"> between 2011 and 2013, reaching 85.9% in 2013. Following this increase, the rate remained fairly similar until 2015. After this there was a 3% point increase from 86% in 2015 to 89% in 2017, but then a decrease of 2.5</w:t>
      </w:r>
      <w:r w:rsidR="004D7E11">
        <w:t xml:space="preserve"> percentage points</w:t>
      </w:r>
      <w:r>
        <w:t xml:space="preserve"> to 2018, </w:t>
      </w:r>
      <w:r w:rsidR="005A61CC">
        <w:t xml:space="preserve">and </w:t>
      </w:r>
      <w:r w:rsidR="004D7E11">
        <w:t xml:space="preserve">remaining around </w:t>
      </w:r>
      <w:r w:rsidR="005A61CC">
        <w:t xml:space="preserve">this </w:t>
      </w:r>
      <w:r w:rsidR="004D7E11">
        <w:t>level at 86.3% in 2019, leading to a "maintaining” performance for this indicator.</w:t>
      </w:r>
    </w:p>
    <w:p w14:paraId="16FDEB07" w14:textId="48AAE8F3" w:rsidR="00455FEA" w:rsidRDefault="00455FEA" w:rsidP="0066111E">
      <w:pPr>
        <w:pStyle w:val="Paragraph"/>
      </w:pPr>
      <w:r>
        <w:t>This standard covers a range of safety and security measures including :</w:t>
      </w:r>
    </w:p>
    <w:p w14:paraId="545A1E1D" w14:textId="0034D802" w:rsidR="00455FEA" w:rsidRDefault="00455FEA" w:rsidP="0066111E">
      <w:pPr>
        <w:pStyle w:val="Paragraph"/>
      </w:pPr>
      <w:r>
        <w:t>Safe: smoke alarms; energy supply systems/appliances; common lifts, internal/external areas, refuse chutes and bin stores.</w:t>
      </w:r>
    </w:p>
    <w:p w14:paraId="2500F1C7" w14:textId="5A80B198" w:rsidR="00455FEA" w:rsidRDefault="00455FEA" w:rsidP="0066111E">
      <w:pPr>
        <w:pStyle w:val="Paragraph"/>
      </w:pPr>
      <w:r>
        <w:t>Adequate: common/public lighting</w:t>
      </w:r>
    </w:p>
    <w:p w14:paraId="136CF430" w14:textId="16E6F1F4" w:rsidR="00455FEA" w:rsidRDefault="00455FEA" w:rsidP="0066111E">
      <w:pPr>
        <w:pStyle w:val="Paragraph"/>
      </w:pPr>
      <w:r>
        <w:t>Secure: dwelling door locks &amp;  common entry systems; with common front and rear doors in a good state of repair.</w:t>
      </w:r>
    </w:p>
    <w:p w14:paraId="34DCE952" w14:textId="2829E9AC" w:rsidR="00F601AE" w:rsidRDefault="00F601AE" w:rsidP="0066111E">
      <w:pPr>
        <w:pStyle w:val="Paragraph"/>
      </w:pPr>
      <w:r w:rsidRPr="00F601AE">
        <w:t>Note that due to the impacts from the Covid pandemic there was no physical survey SHQS data collected in 2020. Results from the 2021 physical survey are due to be published in 2023.</w:t>
      </w:r>
    </w:p>
    <w:p w14:paraId="1A96F7A0" w14:textId="6AD6353A" w:rsidR="00B90A04" w:rsidRDefault="00B90A04" w:rsidP="00B90A04">
      <w:pPr>
        <w:pStyle w:val="Heading2"/>
      </w:pPr>
      <w:r>
        <w:t>Warm</w:t>
      </w:r>
    </w:p>
    <w:p w14:paraId="0D190659" w14:textId="0747AD1B" w:rsidR="001C3E06" w:rsidRPr="001C3E06" w:rsidRDefault="001C3E06" w:rsidP="0066111E">
      <w:pPr>
        <w:pStyle w:val="Paragraph"/>
      </w:pPr>
      <w:r w:rsidRPr="001C3E06">
        <w:t xml:space="preserve">[Chart 12 – Fuel Poverty and Extreme Fuel Poverty Rates (Source: Scottish Government -  </w:t>
      </w:r>
      <w:r w:rsidRPr="001C3E06">
        <w:rPr>
          <w:rFonts w:cs="Arial"/>
          <w:color w:val="000000"/>
          <w:lang w:eastAsia="en-GB"/>
        </w:rPr>
        <w:t>Scottish House Conditions Survey &amp; Scenario Modelling)</w:t>
      </w:r>
      <w:r w:rsidRPr="001C3E06">
        <w:t>]</w:t>
      </w:r>
    </w:p>
    <w:p w14:paraId="79959898" w14:textId="24EF5D5B" w:rsidR="001C3E06" w:rsidRDefault="001C3E06" w:rsidP="0066111E">
      <w:pPr>
        <w:pStyle w:val="Paragraph"/>
      </w:pPr>
    </w:p>
    <w:p w14:paraId="0DDD37E4" w14:textId="38867AC1" w:rsidR="001C3E06" w:rsidRDefault="001C3E06" w:rsidP="0066111E">
      <w:pPr>
        <w:pStyle w:val="Paragraph"/>
      </w:pPr>
      <w:r>
        <w:rPr>
          <w:lang w:eastAsia="en-GB"/>
        </w:rPr>
        <w:lastRenderedPageBreak/>
        <w:drawing>
          <wp:inline distT="0" distB="0" distL="0" distR="0" wp14:anchorId="37A8E286" wp14:editId="5B326CD8">
            <wp:extent cx="6115050" cy="35788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3578860"/>
                    </a:xfrm>
                    <a:prstGeom prst="rect">
                      <a:avLst/>
                    </a:prstGeom>
                    <a:noFill/>
                  </pic:spPr>
                </pic:pic>
              </a:graphicData>
            </a:graphic>
          </wp:inline>
        </w:drawing>
      </w:r>
    </w:p>
    <w:p w14:paraId="44795644" w14:textId="3BDE7FC5" w:rsidR="001C3E06" w:rsidRDefault="001C3E06" w:rsidP="0066111E">
      <w:pPr>
        <w:pStyle w:val="Paragraph"/>
      </w:pPr>
      <w:r>
        <w:t xml:space="preserve">Note: The figures for October 2020, 2021, and 2022 are based on scenario modelling and are therefore not directly comparable to the figures from 2012 to 2019, which are based on Official Statistics from the Scottish House Condition Survey (SHCS) </w:t>
      </w:r>
    </w:p>
    <w:p w14:paraId="4CA0D535" w14:textId="63AD2C93" w:rsidR="007E4D53" w:rsidRDefault="007E4D53" w:rsidP="007E4D53">
      <w:pPr>
        <w:pStyle w:val="Paragraph"/>
      </w:pPr>
      <w:r>
        <w:t xml:space="preserve">Please note that the 2020 Scottish House Condition Survey was suspended due to the Covid-19 pandemic restrictions on in-house surveying. The 2021 survey was conducted using a hybrid ‘external+’ approach, with results scheduled for publication in 2023. </w:t>
      </w:r>
    </w:p>
    <w:p w14:paraId="36C1B86B" w14:textId="24D5CF4C" w:rsidR="00670D39" w:rsidRDefault="00610CD0" w:rsidP="0066111E">
      <w:pPr>
        <w:pStyle w:val="Paragraph"/>
      </w:pPr>
      <w:r>
        <w:t xml:space="preserve">Fuel poverty rates decreased for 4 consecutive years from 31.7% in 2013 to 23.7% in 2017, after which they </w:t>
      </w:r>
      <w:r w:rsidR="00670D39">
        <w:t>stabilised, reaching  24.6% in 2019. Subsequent scenario modelling suggests that fuel poverty rates increased sharply from 22.0% in October 2020 to 35.0% in October 2022, reflecting the increases in energy prices and corresponding increases in the Ofgem energy price caps. The estimate for October 2022 reflects the £2,500 Energy Price Guarantee, as well as a range of UK and Scottish Government mitigations:</w:t>
      </w:r>
    </w:p>
    <w:p w14:paraId="36E2CAA9" w14:textId="77777777" w:rsidR="00670D39" w:rsidRDefault="00670D39" w:rsidP="00E849DA">
      <w:pPr>
        <w:pStyle w:val="Paragraph"/>
        <w:numPr>
          <w:ilvl w:val="0"/>
          <w:numId w:val="4"/>
        </w:numPr>
      </w:pPr>
      <w:r w:rsidRPr="00A0645B">
        <w:t xml:space="preserve">£400 to account for </w:t>
      </w:r>
      <w:r>
        <w:t>the Energy Bills Support Scheme</w:t>
      </w:r>
    </w:p>
    <w:p w14:paraId="08A98867" w14:textId="77777777" w:rsidR="00670D39" w:rsidRDefault="00670D39" w:rsidP="00E849DA">
      <w:pPr>
        <w:pStyle w:val="Paragraph"/>
        <w:numPr>
          <w:ilvl w:val="0"/>
          <w:numId w:val="4"/>
        </w:numPr>
      </w:pPr>
      <w:r w:rsidRPr="00A0645B">
        <w:t xml:space="preserve">£650 Cost of Living payment for those on means-tested benefits, </w:t>
      </w:r>
    </w:p>
    <w:p w14:paraId="28A9C9DC" w14:textId="77777777" w:rsidR="00670D39" w:rsidRDefault="00670D39" w:rsidP="00E849DA">
      <w:pPr>
        <w:pStyle w:val="Paragraph"/>
        <w:numPr>
          <w:ilvl w:val="0"/>
          <w:numId w:val="4"/>
        </w:numPr>
      </w:pPr>
      <w:r w:rsidRPr="00A0645B">
        <w:t xml:space="preserve">£300 Pensioner Cost of Living Payment for pensioner households who receive the Winter Fuel Payment, </w:t>
      </w:r>
    </w:p>
    <w:p w14:paraId="53E009B9" w14:textId="77777777" w:rsidR="00670D39" w:rsidRDefault="00670D39" w:rsidP="00E849DA">
      <w:pPr>
        <w:pStyle w:val="Paragraph"/>
        <w:numPr>
          <w:ilvl w:val="0"/>
          <w:numId w:val="4"/>
        </w:numPr>
      </w:pPr>
      <w:r w:rsidRPr="00A0645B">
        <w:t>£150 Disability Cost of Living Payment</w:t>
      </w:r>
    </w:p>
    <w:p w14:paraId="703C60A3" w14:textId="77777777" w:rsidR="00203B3F" w:rsidRDefault="00670D39" w:rsidP="00E849DA">
      <w:pPr>
        <w:pStyle w:val="Paragraph"/>
        <w:numPr>
          <w:ilvl w:val="0"/>
          <w:numId w:val="4"/>
        </w:numPr>
      </w:pPr>
      <w:r w:rsidRPr="00A0645B">
        <w:t xml:space="preserve"> and £150 Council Tax rebate for households in council tax bands A-D or that receive council tax reduction. </w:t>
      </w:r>
    </w:p>
    <w:p w14:paraId="3950328E" w14:textId="462E4175" w:rsidR="001C3E06" w:rsidRDefault="00203B3F" w:rsidP="0066111E">
      <w:pPr>
        <w:pStyle w:val="Paragraph"/>
      </w:pPr>
      <w:r>
        <w:t xml:space="preserve">The scenario modelling utilised the latest available data from the 2019 Scottish House Condition Survey and applied increases in energy prices to the underlying </w:t>
      </w:r>
      <w:r w:rsidR="0066111E">
        <w:t>modelled energy bills</w:t>
      </w:r>
      <w:r>
        <w:t xml:space="preserve"> and also assigned </w:t>
      </w:r>
      <w:r w:rsidR="0066111E">
        <w:t xml:space="preserve">the </w:t>
      </w:r>
      <w:r>
        <w:t xml:space="preserve">mitigations above to eligible households. </w:t>
      </w:r>
      <w:r w:rsidR="00670D39" w:rsidRPr="00A0645B">
        <w:t>Modelled fuel bills were not adjusted to account for the</w:t>
      </w:r>
      <w:r>
        <w:t xml:space="preserve"> £100 Alternative Fuels Payment (which will be added to future versions of the scenario modelling).</w:t>
      </w:r>
      <w:r w:rsidR="00670D39" w:rsidRPr="00A0645B">
        <w:t xml:space="preserve"> </w:t>
      </w:r>
      <w:r w:rsidR="00670D39">
        <w:t xml:space="preserve"> </w:t>
      </w:r>
    </w:p>
    <w:p w14:paraId="0C0D2086" w14:textId="19BE590F" w:rsidR="001C3E06" w:rsidRDefault="00203B3F" w:rsidP="0066111E">
      <w:pPr>
        <w:pStyle w:val="Paragraph"/>
      </w:pPr>
      <w:r>
        <w:lastRenderedPageBreak/>
        <w:t>Trends in extreme fuel poverty followed a similar patter, reducing for 5 consecutive years from 16.0% in 2013</w:t>
      </w:r>
      <w:r w:rsidR="0033607A">
        <w:t xml:space="preserve"> to 11.3% in 2018. The scenario modelling estimates that rates of extreme fuel poverty more than doubled from 10.</w:t>
      </w:r>
      <w:r w:rsidR="005833D7">
        <w:t>0</w:t>
      </w:r>
      <w:r w:rsidR="0033607A">
        <w:t>% in october 2020 to 24.0% in October 2022.</w:t>
      </w:r>
    </w:p>
    <w:p w14:paraId="7EAC7A27" w14:textId="1C06576F" w:rsidR="005833D7" w:rsidRPr="005833D7" w:rsidRDefault="005864FA" w:rsidP="0066111E">
      <w:pPr>
        <w:pStyle w:val="Paragraph"/>
      </w:pPr>
      <w:r>
        <w:t xml:space="preserve">The definitions of fuel poverty and extreme fuel poverty are set out in the </w:t>
      </w:r>
      <w:r w:rsidR="0046658F">
        <w:t xml:space="preserve"> </w:t>
      </w:r>
      <w:hyperlink r:id="rId33" w:history="1">
        <w:r w:rsidR="0046658F" w:rsidRPr="00051A43">
          <w:rPr>
            <w:rStyle w:val="Hyperlink"/>
          </w:rPr>
          <w:t>Fuel Poverty (Targets, Definition and Strategy) (Scotland) Act 2019</w:t>
        </w:r>
      </w:hyperlink>
      <w:r w:rsidR="005833D7">
        <w:t>,</w:t>
      </w:r>
      <w:r w:rsidR="005833D7" w:rsidRPr="005833D7">
        <w:t xml:space="preserve"> where a household is in fuel poverty if:</w:t>
      </w:r>
    </w:p>
    <w:p w14:paraId="10335CCF" w14:textId="77777777" w:rsidR="005833D7" w:rsidRPr="005833D7" w:rsidRDefault="005833D7" w:rsidP="00E849DA">
      <w:pPr>
        <w:pStyle w:val="Paragraph"/>
        <w:numPr>
          <w:ilvl w:val="0"/>
          <w:numId w:val="5"/>
        </w:numPr>
      </w:pPr>
      <w:r w:rsidRPr="005833D7">
        <w:t xml:space="preserve">in order to maintain a satisfactory heating regime, total fuel costs necessary for the home are more than 10% of the household's adjusted (i.e. after housing costs) net income (and more than 20% in the case of extreme fuel poverty); </w:t>
      </w:r>
      <w:r w:rsidRPr="005833D7">
        <w:rPr>
          <w:b/>
          <w:bCs/>
          <w:u w:val="single"/>
        </w:rPr>
        <w:t>and</w:t>
      </w:r>
    </w:p>
    <w:p w14:paraId="3DE1C861" w14:textId="301435B2" w:rsidR="005833D7" w:rsidRPr="005833D7" w:rsidRDefault="005833D7" w:rsidP="00E849DA">
      <w:pPr>
        <w:pStyle w:val="Paragraph"/>
        <w:numPr>
          <w:ilvl w:val="0"/>
          <w:numId w:val="5"/>
        </w:numPr>
      </w:pPr>
      <w:r w:rsidRPr="005833D7">
        <w:t>if, after deducting those fuel costs, benefits received for a care need or disability and childcare costs, the household's remaining adjusted net income is insufficient to maintain an acceptable standard of living.</w:t>
      </w:r>
    </w:p>
    <w:p w14:paraId="19D11891" w14:textId="77777777" w:rsidR="005833D7" w:rsidRPr="005833D7" w:rsidRDefault="005833D7" w:rsidP="0066111E">
      <w:pPr>
        <w:pStyle w:val="Paragraph"/>
      </w:pPr>
      <w:r w:rsidRPr="005833D7">
        <w:t>Under this definition, a household’s adjusted after housing costs net income is net of income tax, national insurance contributions, mortgage or rent payments, childcare costs, council tax, water and sewerage charges.</w:t>
      </w:r>
    </w:p>
    <w:p w14:paraId="735B6F3E" w14:textId="5133B757" w:rsidR="00F601AE" w:rsidRDefault="005833D7" w:rsidP="0066111E">
      <w:pPr>
        <w:pStyle w:val="Paragraph"/>
      </w:pPr>
      <w:r w:rsidRPr="005833D7">
        <w:t>The remaining adjusted net income must be at least 90% of the </w:t>
      </w:r>
      <w:hyperlink r:id="rId34" w:history="1">
        <w:r w:rsidRPr="005833D7">
          <w:rPr>
            <w:rStyle w:val="Hyperlink"/>
            <w:lang w:val="en-US"/>
          </w:rPr>
          <w:t>UK Minimum Income Standard</w:t>
        </w:r>
      </w:hyperlink>
      <w:r w:rsidRPr="005833D7">
        <w:t> to be considered an acceptable standard of living, with an additional amount added for households in remote rural, remote</w:t>
      </w:r>
      <w:r w:rsidR="0066111E">
        <w:t xml:space="preserve"> small town and island areas.</w:t>
      </w:r>
    </w:p>
    <w:p w14:paraId="0726FF74" w14:textId="65A912D8" w:rsidR="0066111E" w:rsidRDefault="0066111E" w:rsidP="0044362F">
      <w:pPr>
        <w:pStyle w:val="Heading2"/>
      </w:pPr>
    </w:p>
    <w:p w14:paraId="3AAFFC25" w14:textId="6345C86E" w:rsidR="00B90A04" w:rsidRDefault="00B90A04" w:rsidP="0044362F">
      <w:pPr>
        <w:pStyle w:val="Heading2"/>
      </w:pPr>
      <w:r>
        <w:t>Resource Efficient</w:t>
      </w:r>
    </w:p>
    <w:p w14:paraId="083B0C8A" w14:textId="5C58324D" w:rsidR="00790DE8" w:rsidRDefault="00790DE8" w:rsidP="0066111E">
      <w:pPr>
        <w:pStyle w:val="Paragraph"/>
      </w:pPr>
      <w:r>
        <w:t>[Chart 1</w:t>
      </w:r>
      <w:r w:rsidR="00B91FDE">
        <w:t>3</w:t>
      </w:r>
      <w:r w:rsidR="005A61CC">
        <w:t xml:space="preserve"> – Energy Efficiency – Median SAP 2009 &amp; SAP 2012 Scores</w:t>
      </w:r>
      <w:r w:rsidR="002918EA">
        <w:t xml:space="preserve"> (Source: Scottish Government -  </w:t>
      </w:r>
      <w:r w:rsidR="002918EA" w:rsidRPr="002918EA">
        <w:rPr>
          <w:rFonts w:cs="Arial"/>
          <w:color w:val="000000"/>
          <w:sz w:val="28"/>
          <w:szCs w:val="28"/>
          <w:lang w:eastAsia="en-GB"/>
        </w:rPr>
        <w:t>Scottish House Conditions Survey</w:t>
      </w:r>
      <w:r w:rsidR="002918EA">
        <w:rPr>
          <w:rFonts w:cs="Arial"/>
          <w:color w:val="000000"/>
          <w:sz w:val="28"/>
          <w:szCs w:val="28"/>
          <w:lang w:eastAsia="en-GB"/>
        </w:rPr>
        <w:t>)</w:t>
      </w:r>
      <w:r>
        <w:t>]</w:t>
      </w:r>
    </w:p>
    <w:p w14:paraId="41E5DF2D" w14:textId="7802D678" w:rsidR="00B91FDE" w:rsidRDefault="000A7AEF" w:rsidP="0066111E">
      <w:pPr>
        <w:pStyle w:val="Paragraph"/>
      </w:pPr>
      <w:r>
        <w:rPr>
          <w:lang w:eastAsia="en-GB"/>
        </w:rPr>
        <w:drawing>
          <wp:inline distT="0" distB="0" distL="0" distR="0" wp14:anchorId="1FEAA7AA" wp14:editId="58355E24">
            <wp:extent cx="5990538" cy="2887980"/>
            <wp:effectExtent l="0" t="0" r="0" b="7620"/>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990538" cy="2887980"/>
                    </a:xfrm>
                    <a:prstGeom prst="rect">
                      <a:avLst/>
                    </a:prstGeom>
                  </pic:spPr>
                </pic:pic>
              </a:graphicData>
            </a:graphic>
          </wp:inline>
        </w:drawing>
      </w:r>
    </w:p>
    <w:p w14:paraId="15EC7D0A" w14:textId="4C2D0151" w:rsidR="003B1AC6" w:rsidRDefault="003B1AC6" w:rsidP="0066111E">
      <w:pPr>
        <w:pStyle w:val="Paragraph"/>
      </w:pPr>
      <w:r>
        <w:t xml:space="preserve">There was a substantial improvement in the energy efficiency of the housing stock, as measured by the 2009 Standard Assessment Procedure (SAP), between 2010 and 2014. The median SAP 2009 score increased by 8% from 62 in 2010 to 67 in 2014, although it </w:t>
      </w:r>
      <w:r>
        <w:lastRenderedPageBreak/>
        <w:t>remained at this level in 2015 and 2016, before increasing to 68 in 2017 and 2018</w:t>
      </w:r>
      <w:r w:rsidR="006F6A80">
        <w:t xml:space="preserve"> and 69 in 2019</w:t>
      </w:r>
      <w:r>
        <w:t>.</w:t>
      </w:r>
    </w:p>
    <w:p w14:paraId="1EA59A1F" w14:textId="2377B423" w:rsidR="003B1AC6" w:rsidRDefault="003B1AC6" w:rsidP="0066111E">
      <w:pPr>
        <w:pStyle w:val="Paragraph"/>
      </w:pPr>
      <w:r>
        <w:t>SAP 2009 has now been replaced by the latest, improved, industry standard of SAP 2012. The median SAP 2012</w:t>
      </w:r>
      <w:r w:rsidR="004D7E11">
        <w:t xml:space="preserve"> (v9.92)</w:t>
      </w:r>
      <w:r>
        <w:t xml:space="preserve"> score was 2 points below SAP 2009 in 2014 and 2015, but it has shown an improvement of 2 points from 65 in 2015 to 67 in 2017</w:t>
      </w:r>
      <w:r w:rsidR="004D7E11">
        <w:t xml:space="preserve"> and 2018</w:t>
      </w:r>
      <w:r>
        <w:t xml:space="preserve">, after which it has </w:t>
      </w:r>
      <w:r w:rsidR="005A61CC">
        <w:t>improved to</w:t>
      </w:r>
      <w:r>
        <w:t xml:space="preserve"> </w:t>
      </w:r>
      <w:r w:rsidR="004D7E11">
        <w:t xml:space="preserve">68 </w:t>
      </w:r>
      <w:r>
        <w:t xml:space="preserve">in the latest year </w:t>
      </w:r>
      <w:r w:rsidR="004D7E11">
        <w:t>2019</w:t>
      </w:r>
      <w:r>
        <w:t>.</w:t>
      </w:r>
      <w:r w:rsidR="004D7E11">
        <w:t xml:space="preserve"> However, in the latest version of SAP (v.9.93), 2018 and 2019 both had a score of 67, leading to a “maintaining” performance ranking.</w:t>
      </w:r>
    </w:p>
    <w:p w14:paraId="3751AA1C" w14:textId="2D863D32" w:rsidR="00790DE8" w:rsidRDefault="003B1AC6" w:rsidP="0066111E">
      <w:pPr>
        <w:pStyle w:val="Paragraph"/>
      </w:pPr>
      <w:r>
        <w:t xml:space="preserve">The historic distribution of SAP 2009 scores shows that the biggest increase since 2010 has occurred in the 71-80 band, rising from 16% to </w:t>
      </w:r>
      <w:r w:rsidR="004D7E11">
        <w:t>37</w:t>
      </w:r>
      <w:r>
        <w:t xml:space="preserve">% of the stock. The biggest decreases have occurred in the 51-60 and 41-50 bands, falling by 11 and </w:t>
      </w:r>
      <w:r w:rsidR="004D7E11">
        <w:t>7 percentage points</w:t>
      </w:r>
      <w:r>
        <w:t xml:space="preserve"> respectively.</w:t>
      </w:r>
    </w:p>
    <w:p w14:paraId="423DA870" w14:textId="77777777" w:rsidR="00906C69" w:rsidRDefault="00906C69">
      <w:pPr>
        <w:tabs>
          <w:tab w:val="clear" w:pos="720"/>
          <w:tab w:val="clear" w:pos="1440"/>
          <w:tab w:val="clear" w:pos="2160"/>
          <w:tab w:val="clear" w:pos="2880"/>
          <w:tab w:val="clear" w:pos="4680"/>
          <w:tab w:val="clear" w:pos="5400"/>
          <w:tab w:val="clear" w:pos="9000"/>
        </w:tabs>
        <w:spacing w:line="240" w:lineRule="auto"/>
        <w:rPr>
          <w:rFonts w:eastAsia="Times New Roman"/>
          <w:noProof/>
          <w:lang w:val="en-GB"/>
        </w:rPr>
      </w:pPr>
      <w:r>
        <w:br w:type="page"/>
      </w:r>
    </w:p>
    <w:p w14:paraId="059072D2" w14:textId="718093EE" w:rsidR="00790DE8" w:rsidRDefault="00790DE8" w:rsidP="0066111E">
      <w:pPr>
        <w:pStyle w:val="Paragraph"/>
      </w:pPr>
      <w:r>
        <w:lastRenderedPageBreak/>
        <w:t>[Chart 1</w:t>
      </w:r>
      <w:r w:rsidR="00906C69">
        <w:t>4</w:t>
      </w:r>
      <w:r w:rsidR="00F601AE">
        <w:t xml:space="preserve"> – Energy Efficiency – SAP 2009 Banded Profile</w:t>
      </w:r>
      <w:r w:rsidR="002918EA">
        <w:t xml:space="preserve"> (Source: Scottish Government - </w:t>
      </w:r>
      <w:r w:rsidR="002918EA" w:rsidRPr="002918EA">
        <w:rPr>
          <w:rFonts w:cs="Arial"/>
          <w:color w:val="000000"/>
          <w:sz w:val="28"/>
          <w:szCs w:val="28"/>
          <w:lang w:eastAsia="en-GB"/>
        </w:rPr>
        <w:t>Scottish House Conditions Survey</w:t>
      </w:r>
      <w:r w:rsidR="002918EA">
        <w:rPr>
          <w:rFonts w:cs="Arial"/>
          <w:color w:val="000000"/>
          <w:sz w:val="28"/>
          <w:szCs w:val="28"/>
          <w:lang w:eastAsia="en-GB"/>
        </w:rPr>
        <w:t>)</w:t>
      </w:r>
      <w:r>
        <w:t>]</w:t>
      </w:r>
    </w:p>
    <w:p w14:paraId="2C4A07B5" w14:textId="691E94B1" w:rsidR="002C4C1D" w:rsidRDefault="00764C4E" w:rsidP="002C4C1D">
      <w:pPr>
        <w:rPr>
          <w:rFonts w:eastAsia="Times New Roman"/>
          <w:noProof/>
          <w:lang w:val="en-GB"/>
        </w:rPr>
      </w:pPr>
      <w:r>
        <w:rPr>
          <w:rFonts w:eastAsia="Times New Roman"/>
          <w:noProof/>
          <w:lang w:val="en-GB" w:eastAsia="en-GB"/>
        </w:rPr>
        <w:drawing>
          <wp:inline distT="0" distB="0" distL="0" distR="0" wp14:anchorId="553B2D81" wp14:editId="73E373EA">
            <wp:extent cx="6116320" cy="2712151"/>
            <wp:effectExtent l="0" t="0" r="0"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6116320" cy="2712151"/>
                    </a:xfrm>
                    <a:prstGeom prst="rect">
                      <a:avLst/>
                    </a:prstGeom>
                  </pic:spPr>
                </pic:pic>
              </a:graphicData>
            </a:graphic>
          </wp:inline>
        </w:drawing>
      </w:r>
    </w:p>
    <w:p w14:paraId="0ED4DB6A" w14:textId="341D2F16" w:rsidR="002C4C1D" w:rsidRDefault="002C4C1D" w:rsidP="002C4C1D">
      <w:pPr>
        <w:rPr>
          <w:rFonts w:eastAsia="Times New Roman"/>
          <w:noProof/>
          <w:lang w:val="en-GB"/>
        </w:rPr>
      </w:pPr>
      <w:r w:rsidRPr="002C4C1D">
        <w:rPr>
          <w:rFonts w:eastAsia="Times New Roman"/>
          <w:noProof/>
          <w:lang w:val="en-GB"/>
        </w:rPr>
        <w:t>The uptake of energy efficiency schemes in Scotland since 2010/11</w:t>
      </w:r>
      <w:r w:rsidR="00502C2E">
        <w:rPr>
          <w:rFonts w:eastAsia="Times New Roman"/>
          <w:noProof/>
          <w:lang w:val="en-GB"/>
        </w:rPr>
        <w:t xml:space="preserve"> </w:t>
      </w:r>
      <w:r w:rsidRPr="002C4C1D">
        <w:rPr>
          <w:rFonts w:eastAsia="Times New Roman"/>
          <w:noProof/>
          <w:lang w:val="en-GB"/>
        </w:rPr>
        <w:t xml:space="preserve">have made a substantial contribution to improvements in the energy efficiency of the housing stock. </w:t>
      </w:r>
      <w:r w:rsidR="00502C2E">
        <w:rPr>
          <w:rFonts w:eastAsia="Times New Roman"/>
          <w:noProof/>
          <w:lang w:val="en-GB"/>
        </w:rPr>
        <w:t xml:space="preserve">Full tables are available in the </w:t>
      </w:r>
      <w:r w:rsidR="0059351B">
        <w:rPr>
          <w:rFonts w:eastAsia="Times New Roman"/>
          <w:noProof/>
          <w:lang w:val="en-GB"/>
        </w:rPr>
        <w:t xml:space="preserve">HAR outcome indicators </w:t>
      </w:r>
      <w:r w:rsidR="00502C2E">
        <w:rPr>
          <w:rFonts w:eastAsia="Times New Roman"/>
          <w:noProof/>
          <w:lang w:val="en-GB"/>
        </w:rPr>
        <w:t>master spreadsheet.</w:t>
      </w:r>
    </w:p>
    <w:p w14:paraId="3E625108" w14:textId="77777777" w:rsidR="00F601AE" w:rsidRDefault="00F601AE" w:rsidP="0066111E">
      <w:pPr>
        <w:pStyle w:val="Paragraph"/>
      </w:pPr>
      <w:r w:rsidRPr="00F601AE">
        <w:t>Note that due to the impacts from the Covid pandemic there was no physical survey SHQS data collected in 2020. Results from the 2021 physical survey are due to be published in 2023.</w:t>
      </w:r>
    </w:p>
    <w:p w14:paraId="24EA3D8C" w14:textId="77777777" w:rsidR="00F601AE" w:rsidRDefault="00F601AE" w:rsidP="002C4C1D">
      <w:pPr>
        <w:rPr>
          <w:rFonts w:eastAsia="Times New Roman"/>
          <w:noProof/>
          <w:lang w:val="en-GB"/>
        </w:rPr>
      </w:pPr>
    </w:p>
    <w:p w14:paraId="44B078E6" w14:textId="008E3341" w:rsidR="00407994" w:rsidRDefault="00407994" w:rsidP="005F2581">
      <w:pPr>
        <w:rPr>
          <w:rFonts w:eastAsia="Times New Roman"/>
          <w:noProof/>
          <w:lang w:val="en-GB"/>
        </w:rPr>
      </w:pPr>
      <w:bookmarkStart w:id="2" w:name="_Hlk117672439"/>
      <w:r>
        <w:rPr>
          <w:rFonts w:eastAsia="Times New Roman"/>
          <w:noProof/>
          <w:lang w:val="en-GB"/>
        </w:rPr>
        <w:t>[Chart 15 – Disrepair to Critical Elements</w:t>
      </w:r>
      <w:r w:rsidR="002918EA">
        <w:rPr>
          <w:rFonts w:eastAsia="Times New Roman"/>
          <w:noProof/>
          <w:lang w:val="en-GB"/>
        </w:rPr>
        <w:t xml:space="preserve"> </w:t>
      </w:r>
      <w:r w:rsidR="002918EA">
        <w:t xml:space="preserve">(Source: Scottish Government - </w:t>
      </w:r>
      <w:r w:rsidR="002918EA" w:rsidRPr="002918EA">
        <w:rPr>
          <w:rFonts w:cs="Arial"/>
          <w:color w:val="000000"/>
          <w:sz w:val="28"/>
          <w:szCs w:val="28"/>
          <w:lang w:eastAsia="en-GB"/>
        </w:rPr>
        <w:t>Scottish House Conditions Survey</w:t>
      </w:r>
      <w:r w:rsidR="002918EA">
        <w:rPr>
          <w:rFonts w:cs="Arial"/>
          <w:color w:val="000000"/>
          <w:sz w:val="28"/>
          <w:szCs w:val="28"/>
          <w:lang w:eastAsia="en-GB"/>
        </w:rPr>
        <w:t>)</w:t>
      </w:r>
      <w:r>
        <w:rPr>
          <w:rFonts w:eastAsia="Times New Roman"/>
          <w:noProof/>
          <w:lang w:val="en-GB"/>
        </w:rPr>
        <w:t>]</w:t>
      </w:r>
    </w:p>
    <w:p w14:paraId="22F561D3" w14:textId="72ED1EC2" w:rsidR="00407994" w:rsidRDefault="00407994" w:rsidP="005F2581">
      <w:pPr>
        <w:rPr>
          <w:rFonts w:eastAsia="Times New Roman"/>
          <w:noProof/>
          <w:lang w:val="en-GB"/>
        </w:rPr>
      </w:pPr>
    </w:p>
    <w:p w14:paraId="0DC1F802" w14:textId="2B5F6502" w:rsidR="00407994" w:rsidRDefault="00407994" w:rsidP="005F2581">
      <w:pPr>
        <w:rPr>
          <w:rFonts w:eastAsia="Times New Roman"/>
          <w:noProof/>
          <w:lang w:val="en-GB"/>
        </w:rPr>
      </w:pPr>
      <w:r>
        <w:rPr>
          <w:rFonts w:eastAsia="Times New Roman"/>
          <w:noProof/>
          <w:lang w:val="en-GB" w:eastAsia="en-GB"/>
        </w:rPr>
        <w:drawing>
          <wp:inline distT="0" distB="0" distL="0" distR="0" wp14:anchorId="05B2BE05" wp14:editId="53906CBE">
            <wp:extent cx="6115982" cy="3032125"/>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6115982" cy="3032125"/>
                    </a:xfrm>
                    <a:prstGeom prst="rect">
                      <a:avLst/>
                    </a:prstGeom>
                  </pic:spPr>
                </pic:pic>
              </a:graphicData>
            </a:graphic>
          </wp:inline>
        </w:drawing>
      </w:r>
    </w:p>
    <w:p w14:paraId="6C501F41" w14:textId="77777777" w:rsidR="00407994" w:rsidRDefault="00407994" w:rsidP="005F2581">
      <w:pPr>
        <w:rPr>
          <w:rFonts w:eastAsia="Times New Roman"/>
          <w:noProof/>
          <w:lang w:val="en-GB"/>
        </w:rPr>
      </w:pPr>
    </w:p>
    <w:p w14:paraId="33D38C95" w14:textId="7A0F6CC6" w:rsidR="00745953" w:rsidRDefault="00745953" w:rsidP="005F2581">
      <w:pPr>
        <w:rPr>
          <w:rFonts w:eastAsia="Times New Roman"/>
          <w:noProof/>
          <w:lang w:val="en-GB"/>
        </w:rPr>
      </w:pPr>
      <w:r>
        <w:rPr>
          <w:rFonts w:eastAsia="Times New Roman"/>
          <w:noProof/>
          <w:lang w:val="en-GB"/>
        </w:rPr>
        <w:t xml:space="preserve">[Chart </w:t>
      </w:r>
      <w:r w:rsidR="00407994">
        <w:rPr>
          <w:rFonts w:eastAsia="Times New Roman"/>
          <w:noProof/>
          <w:lang w:val="en-GB"/>
        </w:rPr>
        <w:t xml:space="preserve">16 </w:t>
      </w:r>
      <w:r w:rsidR="005A61CC">
        <w:rPr>
          <w:rFonts w:eastAsia="Times New Roman"/>
          <w:noProof/>
          <w:lang w:val="en-GB"/>
        </w:rPr>
        <w:t>– Disrepair to Critical Elements – by tenure</w:t>
      </w:r>
      <w:r w:rsidR="002918EA">
        <w:rPr>
          <w:rFonts w:eastAsia="Times New Roman"/>
          <w:noProof/>
          <w:lang w:val="en-GB"/>
        </w:rPr>
        <w:t xml:space="preserve"> </w:t>
      </w:r>
      <w:r w:rsidR="002918EA">
        <w:t xml:space="preserve">(Source: Scottish Government (SG) </w:t>
      </w:r>
      <w:r w:rsidR="002918EA" w:rsidRPr="002918EA">
        <w:rPr>
          <w:rFonts w:cs="Arial"/>
          <w:color w:val="000000"/>
          <w:sz w:val="28"/>
          <w:szCs w:val="28"/>
          <w:lang w:eastAsia="en-GB"/>
        </w:rPr>
        <w:t>Scottish House Conditions Survey (</w:t>
      </w:r>
      <w:proofErr w:type="spellStart"/>
      <w:r w:rsidR="002918EA" w:rsidRPr="002918EA">
        <w:rPr>
          <w:rFonts w:cs="Arial"/>
          <w:color w:val="000000"/>
          <w:sz w:val="28"/>
          <w:szCs w:val="28"/>
          <w:lang w:eastAsia="en-GB"/>
        </w:rPr>
        <w:t>SHCS</w:t>
      </w:r>
      <w:proofErr w:type="spellEnd"/>
      <w:r w:rsidR="002918EA" w:rsidRPr="002918EA">
        <w:rPr>
          <w:rFonts w:cs="Arial"/>
          <w:color w:val="000000"/>
          <w:sz w:val="28"/>
          <w:szCs w:val="28"/>
          <w:lang w:eastAsia="en-GB"/>
        </w:rPr>
        <w:t>)</w:t>
      </w:r>
      <w:r w:rsidR="002918EA">
        <w:rPr>
          <w:rFonts w:cs="Arial"/>
          <w:color w:val="000000"/>
          <w:sz w:val="28"/>
          <w:szCs w:val="28"/>
          <w:lang w:eastAsia="en-GB"/>
        </w:rPr>
        <w:t>)</w:t>
      </w:r>
      <w:r>
        <w:rPr>
          <w:rFonts w:eastAsia="Times New Roman"/>
          <w:noProof/>
          <w:lang w:val="en-GB"/>
        </w:rPr>
        <w:t>]</w:t>
      </w:r>
    </w:p>
    <w:p w14:paraId="777664A9" w14:textId="79B158BD" w:rsidR="00E502B8" w:rsidRDefault="00E502B8" w:rsidP="005F2581">
      <w:pPr>
        <w:rPr>
          <w:rFonts w:eastAsia="Times New Roman"/>
          <w:noProof/>
          <w:lang w:val="en-GB"/>
        </w:rPr>
      </w:pPr>
      <w:r>
        <w:rPr>
          <w:rFonts w:eastAsia="Times New Roman"/>
          <w:noProof/>
          <w:lang w:val="en-GB" w:eastAsia="en-GB"/>
        </w:rPr>
        <w:lastRenderedPageBreak/>
        <w:drawing>
          <wp:inline distT="0" distB="0" distL="0" distR="0" wp14:anchorId="23A63A01" wp14:editId="0E519E1A">
            <wp:extent cx="6051796" cy="2432050"/>
            <wp:effectExtent l="0" t="0" r="6350" b="635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6051796" cy="2432050"/>
                    </a:xfrm>
                    <a:prstGeom prst="rect">
                      <a:avLst/>
                    </a:prstGeom>
                  </pic:spPr>
                </pic:pic>
              </a:graphicData>
            </a:graphic>
          </wp:inline>
        </w:drawing>
      </w:r>
    </w:p>
    <w:p w14:paraId="0EE07B5E" w14:textId="54E970E8" w:rsidR="00745953" w:rsidRDefault="00745953" w:rsidP="005F2581">
      <w:pPr>
        <w:rPr>
          <w:rFonts w:eastAsia="Times New Roman"/>
          <w:noProof/>
          <w:lang w:val="en-GB"/>
        </w:rPr>
      </w:pPr>
    </w:p>
    <w:p w14:paraId="1A9D511F" w14:textId="35969B5E" w:rsidR="00745953" w:rsidRDefault="00745953" w:rsidP="005F2581">
      <w:pPr>
        <w:rPr>
          <w:rFonts w:eastAsia="Times New Roman"/>
          <w:noProof/>
          <w:lang w:val="en-GB"/>
        </w:rPr>
      </w:pPr>
      <w:r>
        <w:rPr>
          <w:rFonts w:eastAsia="Times New Roman"/>
          <w:noProof/>
          <w:lang w:val="en-GB"/>
        </w:rPr>
        <w:t xml:space="preserve">[Chart </w:t>
      </w:r>
      <w:r w:rsidR="00407994">
        <w:rPr>
          <w:rFonts w:eastAsia="Times New Roman"/>
          <w:noProof/>
          <w:lang w:val="en-GB"/>
        </w:rPr>
        <w:t>17</w:t>
      </w:r>
      <w:r w:rsidR="005A61CC">
        <w:rPr>
          <w:rFonts w:eastAsia="Times New Roman"/>
          <w:noProof/>
          <w:lang w:val="en-GB"/>
        </w:rPr>
        <w:t>- Disrepair to Critical Elements – by age of dwelling</w:t>
      </w:r>
      <w:r w:rsidR="002918EA">
        <w:rPr>
          <w:rFonts w:eastAsia="Times New Roman"/>
          <w:noProof/>
          <w:lang w:val="en-GB"/>
        </w:rPr>
        <w:t xml:space="preserve"> </w:t>
      </w:r>
      <w:r w:rsidR="002918EA">
        <w:t xml:space="preserve">(Source: Scottish Government (SG) </w:t>
      </w:r>
      <w:r w:rsidR="002918EA" w:rsidRPr="002918EA">
        <w:rPr>
          <w:rFonts w:cs="Arial"/>
          <w:color w:val="000000"/>
          <w:sz w:val="28"/>
          <w:szCs w:val="28"/>
          <w:lang w:eastAsia="en-GB"/>
        </w:rPr>
        <w:t>Scottish House Conditions Survey (</w:t>
      </w:r>
      <w:proofErr w:type="spellStart"/>
      <w:r w:rsidR="002918EA" w:rsidRPr="002918EA">
        <w:rPr>
          <w:rFonts w:cs="Arial"/>
          <w:color w:val="000000"/>
          <w:sz w:val="28"/>
          <w:szCs w:val="28"/>
          <w:lang w:eastAsia="en-GB"/>
        </w:rPr>
        <w:t>SHCS</w:t>
      </w:r>
      <w:proofErr w:type="spellEnd"/>
      <w:r w:rsidR="002918EA" w:rsidRPr="002918EA">
        <w:rPr>
          <w:rFonts w:cs="Arial"/>
          <w:color w:val="000000"/>
          <w:sz w:val="28"/>
          <w:szCs w:val="28"/>
          <w:lang w:eastAsia="en-GB"/>
        </w:rPr>
        <w:t>)</w:t>
      </w:r>
      <w:r w:rsidR="002918EA">
        <w:rPr>
          <w:rFonts w:cs="Arial"/>
          <w:color w:val="000000"/>
          <w:sz w:val="28"/>
          <w:szCs w:val="28"/>
          <w:lang w:eastAsia="en-GB"/>
        </w:rPr>
        <w:t>)</w:t>
      </w:r>
      <w:r>
        <w:rPr>
          <w:rFonts w:eastAsia="Times New Roman"/>
          <w:noProof/>
          <w:lang w:val="en-GB"/>
        </w:rPr>
        <w:t>]</w:t>
      </w:r>
    </w:p>
    <w:p w14:paraId="28448AE4" w14:textId="1F18B2C0" w:rsidR="00E502B8" w:rsidRDefault="00E502B8" w:rsidP="005F2581">
      <w:pPr>
        <w:rPr>
          <w:rFonts w:eastAsia="Times New Roman"/>
          <w:noProof/>
          <w:lang w:val="en-GB"/>
        </w:rPr>
      </w:pPr>
      <w:r>
        <w:rPr>
          <w:rFonts w:eastAsia="Times New Roman"/>
          <w:noProof/>
          <w:lang w:val="en-GB" w:eastAsia="en-GB"/>
        </w:rPr>
        <w:drawing>
          <wp:inline distT="0" distB="0" distL="0" distR="0" wp14:anchorId="118E2F38" wp14:editId="0F04FC99">
            <wp:extent cx="6067807" cy="2515870"/>
            <wp:effectExtent l="0" t="0" r="9525"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6067807" cy="2515870"/>
                    </a:xfrm>
                    <a:prstGeom prst="rect">
                      <a:avLst/>
                    </a:prstGeom>
                  </pic:spPr>
                </pic:pic>
              </a:graphicData>
            </a:graphic>
          </wp:inline>
        </w:drawing>
      </w:r>
    </w:p>
    <w:p w14:paraId="7881F23B" w14:textId="2C36B75F" w:rsidR="00745953" w:rsidRDefault="00745953" w:rsidP="005F2581">
      <w:pPr>
        <w:rPr>
          <w:rFonts w:eastAsia="Times New Roman"/>
          <w:noProof/>
          <w:lang w:val="en-GB"/>
        </w:rPr>
      </w:pPr>
    </w:p>
    <w:p w14:paraId="611265D8" w14:textId="32F13A51" w:rsidR="00E42F81" w:rsidRPr="00E42F81" w:rsidRDefault="00E42F81" w:rsidP="0066111E">
      <w:pPr>
        <w:pStyle w:val="Paragraph"/>
      </w:pPr>
      <w:r w:rsidRPr="00E42F81">
        <w:t xml:space="preserve">Critical elements are defined as those whose condition is central to a dwelling being wind and weather proof, structurally stable and safeguarded against rapid deterioration. </w:t>
      </w:r>
    </w:p>
    <w:p w14:paraId="5A5C3067" w14:textId="7A5F23E6" w:rsidR="00E42F81" w:rsidRPr="00E42F81" w:rsidRDefault="00E42F81" w:rsidP="0066111E">
      <w:pPr>
        <w:pStyle w:val="Paragraph"/>
      </w:pPr>
      <w:r w:rsidRPr="00E42F81">
        <w:t>This indicator measures any level of disrepair to critical elements, no matter how small.</w:t>
      </w:r>
    </w:p>
    <w:p w14:paraId="7897AF8F" w14:textId="03F1B6CF" w:rsidR="00E42F81" w:rsidRPr="00E42F81" w:rsidRDefault="00E42F81" w:rsidP="0066111E">
      <w:pPr>
        <w:pStyle w:val="Paragraph"/>
      </w:pPr>
      <w:r w:rsidRPr="00E42F81">
        <w:t>Between 2009 and 2011, there was an increase in the percentage of homes with disrepair to critical elements across all tenure types, with the Scotland level increasing by 6.6</w:t>
      </w:r>
      <w:r w:rsidR="004D7E11">
        <w:t xml:space="preserve"> percentage points</w:t>
      </w:r>
      <w:r w:rsidRPr="00E42F81">
        <w:t xml:space="preserve"> from 55.3% in 2009 to 61.9% in 2011. Since then the rate decreased for 5 consecutive years, falling by 13.5</w:t>
      </w:r>
      <w:r w:rsidR="004D7E11">
        <w:t xml:space="preserve"> percentage points</w:t>
      </w:r>
      <w:r w:rsidRPr="00E42F81">
        <w:t xml:space="preserve"> to 48.4% in 2016, after which </w:t>
      </w:r>
      <w:r w:rsidR="004D7E11">
        <w:t>rose to 56.9% in 2018, before falling 5 percentage points to 51.9% in 2019.</w:t>
      </w:r>
    </w:p>
    <w:p w14:paraId="4F9B8242" w14:textId="54E123B7" w:rsidR="00E42F81" w:rsidRPr="00E42F81" w:rsidRDefault="00E42F81" w:rsidP="0066111E">
      <w:pPr>
        <w:pStyle w:val="Paragraph"/>
      </w:pPr>
      <w:r w:rsidRPr="00E42F81">
        <w:t xml:space="preserve">Since 2011, there has been a statistically significant decrease in disrepair to critical elements </w:t>
      </w:r>
      <w:r w:rsidR="0075287E">
        <w:t>for</w:t>
      </w:r>
      <w:r w:rsidR="0075287E" w:rsidRPr="00E42F81">
        <w:t xml:space="preserve"> </w:t>
      </w:r>
      <w:r w:rsidR="0075287E">
        <w:t>owner occupied and LA/other public sector tenures, with a</w:t>
      </w:r>
      <w:r w:rsidRPr="00E42F81">
        <w:t xml:space="preserve"> decrease </w:t>
      </w:r>
      <w:r w:rsidR="0075287E">
        <w:t xml:space="preserve">of </w:t>
      </w:r>
      <w:r w:rsidR="00502C2E">
        <w:t>12.2</w:t>
      </w:r>
      <w:r w:rsidR="0075287E">
        <w:t xml:space="preserve"> percentage points for</w:t>
      </w:r>
      <w:r w:rsidR="0075287E" w:rsidRPr="00E42F81">
        <w:t xml:space="preserve"> </w:t>
      </w:r>
      <w:r w:rsidR="004D7E11">
        <w:t xml:space="preserve">Owner Occupied stock, </w:t>
      </w:r>
      <w:r w:rsidR="0075287E">
        <w:t xml:space="preserve">and a decrease of </w:t>
      </w:r>
      <w:r w:rsidR="00502C2E">
        <w:t>8.1</w:t>
      </w:r>
      <w:r w:rsidR="0075287E">
        <w:t xml:space="preserve"> percentage points for </w:t>
      </w:r>
      <w:r w:rsidR="004D7E11">
        <w:t>Local Authority Stock.</w:t>
      </w:r>
    </w:p>
    <w:p w14:paraId="1BE10382" w14:textId="344CF6A2" w:rsidR="00E42F81" w:rsidRDefault="00E42F81" w:rsidP="0066111E">
      <w:pPr>
        <w:pStyle w:val="Paragraph"/>
      </w:pPr>
      <w:r w:rsidRPr="00E42F81">
        <w:t xml:space="preserve">In </w:t>
      </w:r>
      <w:r w:rsidR="004D7E11" w:rsidRPr="00E42F81">
        <w:t>201</w:t>
      </w:r>
      <w:r w:rsidR="004D7E11">
        <w:t>9</w:t>
      </w:r>
      <w:r w:rsidRPr="00E42F81">
        <w:t xml:space="preserve">, Private Rented Stock and Local Authority Stock had the highest level of disrepair to critical elements at </w:t>
      </w:r>
      <w:r w:rsidR="004D7E11">
        <w:t>65.5% each</w:t>
      </w:r>
      <w:r w:rsidRPr="00E42F81">
        <w:t xml:space="preserve">. There is also a clear pattern of older dwellings having a </w:t>
      </w:r>
      <w:r w:rsidRPr="00E42F81">
        <w:lastRenderedPageBreak/>
        <w:t xml:space="preserve">higher level of disrepair than newer dwellings, particularly compared to those built post-1982. </w:t>
      </w:r>
    </w:p>
    <w:bookmarkEnd w:id="2"/>
    <w:p w14:paraId="0C5CED5D" w14:textId="43F127C1" w:rsidR="00B90A04" w:rsidRDefault="00B90A04" w:rsidP="00B90A04">
      <w:pPr>
        <w:pStyle w:val="Heading2"/>
      </w:pPr>
      <w:r>
        <w:t>Promote Wellbeing</w:t>
      </w:r>
    </w:p>
    <w:p w14:paraId="77716513" w14:textId="510163DC" w:rsidR="00975556" w:rsidRDefault="00975556" w:rsidP="0066111E">
      <w:pPr>
        <w:pStyle w:val="Paragraph"/>
      </w:pPr>
      <w:r>
        <w:t xml:space="preserve">[Chart </w:t>
      </w:r>
      <w:r w:rsidR="00407994">
        <w:t xml:space="preserve">18 </w:t>
      </w:r>
      <w:r w:rsidR="00F601AE">
        <w:t>– Percentage of People Who are Satisfied With the Condition of Their Home</w:t>
      </w:r>
      <w:r w:rsidR="002918EA">
        <w:t xml:space="preserve"> (Source: Scottish Government - </w:t>
      </w:r>
      <w:r w:rsidR="002918EA" w:rsidRPr="002918EA">
        <w:rPr>
          <w:rFonts w:cs="Arial"/>
          <w:color w:val="000000"/>
          <w:sz w:val="28"/>
          <w:szCs w:val="28"/>
          <w:lang w:eastAsia="en-GB"/>
        </w:rPr>
        <w:t>Scottish House Conditions Survey</w:t>
      </w:r>
      <w:r w:rsidR="002918EA">
        <w:rPr>
          <w:rFonts w:cs="Arial"/>
          <w:color w:val="000000"/>
          <w:sz w:val="28"/>
          <w:szCs w:val="28"/>
          <w:lang w:eastAsia="en-GB"/>
        </w:rPr>
        <w:t>)</w:t>
      </w:r>
      <w:r w:rsidR="00846442">
        <w:t>]</w:t>
      </w:r>
    </w:p>
    <w:p w14:paraId="21A7DA8D" w14:textId="7F90DA0D" w:rsidR="0076388C" w:rsidRDefault="0076388C" w:rsidP="0066111E">
      <w:pPr>
        <w:pStyle w:val="Paragraph"/>
      </w:pPr>
      <w:r>
        <w:rPr>
          <w:lang w:eastAsia="en-GB"/>
        </w:rPr>
        <w:drawing>
          <wp:inline distT="0" distB="0" distL="0" distR="0" wp14:anchorId="730A2286" wp14:editId="6F155C92">
            <wp:extent cx="6002210" cy="2755265"/>
            <wp:effectExtent l="0" t="0" r="0" b="6985"/>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6002210" cy="2755265"/>
                    </a:xfrm>
                    <a:prstGeom prst="rect">
                      <a:avLst/>
                    </a:prstGeom>
                  </pic:spPr>
                </pic:pic>
              </a:graphicData>
            </a:graphic>
          </wp:inline>
        </w:drawing>
      </w:r>
    </w:p>
    <w:p w14:paraId="1862F42F" w14:textId="395FE8B0" w:rsidR="0061312E" w:rsidRDefault="0061312E" w:rsidP="0066111E">
      <w:pPr>
        <w:pStyle w:val="Paragraph"/>
      </w:pPr>
      <w:r>
        <w:t>There was a significant increase in the percentage of people who were satisfied with the condition of their home between 2015 and 2016, rising 3.1 percentage points to 83.7%.</w:t>
      </w:r>
    </w:p>
    <w:p w14:paraId="48DA8BBA" w14:textId="232DB5C2" w:rsidR="00846442" w:rsidRDefault="0061312E" w:rsidP="0066111E">
      <w:pPr>
        <w:pStyle w:val="Paragraph"/>
      </w:pPr>
      <w:r>
        <w:t xml:space="preserve">Over the past </w:t>
      </w:r>
      <w:r w:rsidR="004D7E11">
        <w:t xml:space="preserve">3 </w:t>
      </w:r>
      <w:r>
        <w:t xml:space="preserve">years the percentage has dropped slightly to </w:t>
      </w:r>
      <w:r w:rsidR="004D7E11">
        <w:t>81.8</w:t>
      </w:r>
      <w:r>
        <w:t xml:space="preserve">% in </w:t>
      </w:r>
      <w:r w:rsidR="004D7E11">
        <w:t>2019</w:t>
      </w:r>
      <w:r>
        <w:t>, which is not a significant decrease.</w:t>
      </w:r>
    </w:p>
    <w:p w14:paraId="1B02BAFF" w14:textId="7E8FD29A" w:rsidR="00F601AE" w:rsidRDefault="00F601AE" w:rsidP="0066111E">
      <w:pPr>
        <w:pStyle w:val="Paragraph"/>
      </w:pPr>
      <w:r w:rsidRPr="00F601AE">
        <w:t>Note that due to the impacts from the Covid pandemic</w:t>
      </w:r>
      <w:r>
        <w:t xml:space="preserve"> period, </w:t>
      </w:r>
      <w:r w:rsidRPr="00F601AE">
        <w:t>the results of the SHS 2020 telephone survey are not directly comparable to SHS results for previous years</w:t>
      </w:r>
      <w:r>
        <w:t xml:space="preserve">, and are not considered suitable for the purposes of </w:t>
      </w:r>
      <w:r w:rsidR="007548C9">
        <w:t xml:space="preserve">indicator </w:t>
      </w:r>
      <w:r>
        <w:t>reporting.</w:t>
      </w:r>
    </w:p>
    <w:p w14:paraId="6C047535" w14:textId="77777777" w:rsidR="00F601AE" w:rsidRDefault="00F601AE" w:rsidP="0066111E">
      <w:pPr>
        <w:pStyle w:val="Paragraph"/>
      </w:pPr>
    </w:p>
    <w:p w14:paraId="78C10432" w14:textId="77777777" w:rsidR="00047AE3" w:rsidRDefault="00047AE3">
      <w:pPr>
        <w:tabs>
          <w:tab w:val="clear" w:pos="720"/>
          <w:tab w:val="clear" w:pos="1440"/>
          <w:tab w:val="clear" w:pos="2160"/>
          <w:tab w:val="clear" w:pos="2880"/>
          <w:tab w:val="clear" w:pos="4680"/>
          <w:tab w:val="clear" w:pos="5400"/>
          <w:tab w:val="clear" w:pos="9000"/>
        </w:tabs>
        <w:spacing w:line="240" w:lineRule="auto"/>
        <w:rPr>
          <w:rFonts w:eastAsia="Times New Roman"/>
          <w:noProof/>
          <w:lang w:val="en-GB"/>
        </w:rPr>
      </w:pPr>
      <w:r>
        <w:br w:type="page"/>
      </w:r>
    </w:p>
    <w:p w14:paraId="4ED8AF28" w14:textId="22D13727" w:rsidR="00F24C79" w:rsidRDefault="00F24C79" w:rsidP="0066111E">
      <w:pPr>
        <w:pStyle w:val="Paragraph"/>
      </w:pPr>
      <w:r>
        <w:lastRenderedPageBreak/>
        <w:t xml:space="preserve">[Chart </w:t>
      </w:r>
      <w:r w:rsidR="00407994">
        <w:t xml:space="preserve">19 </w:t>
      </w:r>
      <w:r w:rsidR="00F601AE">
        <w:t>– Walking Distance to Nearest Useable Green or Blue Space</w:t>
      </w:r>
      <w:r w:rsidR="002918EA">
        <w:t xml:space="preserve"> (Source: Scottish Government - </w:t>
      </w:r>
      <w:r w:rsidR="002918EA" w:rsidRPr="002918EA">
        <w:rPr>
          <w:rFonts w:cs="Arial"/>
          <w:color w:val="000000"/>
          <w:sz w:val="28"/>
          <w:szCs w:val="28"/>
          <w:lang w:eastAsia="en-GB"/>
        </w:rPr>
        <w:t>Scottish House</w:t>
      </w:r>
      <w:r w:rsidR="002918EA">
        <w:rPr>
          <w:rFonts w:cs="Arial"/>
          <w:color w:val="000000"/>
          <w:sz w:val="28"/>
          <w:szCs w:val="28"/>
          <w:lang w:eastAsia="en-GB"/>
        </w:rPr>
        <w:t xml:space="preserve">hold </w:t>
      </w:r>
      <w:r w:rsidR="002918EA" w:rsidRPr="002918EA">
        <w:rPr>
          <w:rFonts w:cs="Arial"/>
          <w:color w:val="000000"/>
          <w:sz w:val="28"/>
          <w:szCs w:val="28"/>
          <w:lang w:eastAsia="en-GB"/>
        </w:rPr>
        <w:t>Survey</w:t>
      </w:r>
      <w:r w:rsidR="002918EA">
        <w:rPr>
          <w:rFonts w:cs="Arial"/>
          <w:color w:val="000000"/>
          <w:sz w:val="28"/>
          <w:szCs w:val="28"/>
          <w:lang w:eastAsia="en-GB"/>
        </w:rPr>
        <w:t>)]</w:t>
      </w:r>
    </w:p>
    <w:p w14:paraId="099EE166" w14:textId="536D1524" w:rsidR="00047AE3" w:rsidRDefault="00047AE3" w:rsidP="0066111E">
      <w:pPr>
        <w:pStyle w:val="Paragraph"/>
      </w:pPr>
      <w:r>
        <w:rPr>
          <w:lang w:eastAsia="en-GB"/>
        </w:rPr>
        <w:drawing>
          <wp:inline distT="0" distB="0" distL="0" distR="0" wp14:anchorId="1AD0D9B3" wp14:editId="0C9BF214">
            <wp:extent cx="5996235" cy="2896235"/>
            <wp:effectExtent l="0" t="0" r="5080"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5996235" cy="2896235"/>
                    </a:xfrm>
                    <a:prstGeom prst="rect">
                      <a:avLst/>
                    </a:prstGeom>
                  </pic:spPr>
                </pic:pic>
              </a:graphicData>
            </a:graphic>
          </wp:inline>
        </w:drawing>
      </w:r>
    </w:p>
    <w:p w14:paraId="5AAC38F4" w14:textId="6EAB4911" w:rsidR="008D5817" w:rsidRDefault="008D5817" w:rsidP="0066111E">
      <w:pPr>
        <w:pStyle w:val="Paragraph"/>
      </w:pPr>
      <w:r>
        <w:t xml:space="preserve">The results show that in </w:t>
      </w:r>
      <w:r w:rsidR="004D7E11">
        <w:t>2019</w:t>
      </w:r>
      <w:r>
        <w:t>: 65.</w:t>
      </w:r>
      <w:r w:rsidR="004D7E11">
        <w:t>5</w:t>
      </w:r>
      <w:r>
        <w:t>% of people can access useable green or blue space areas within 5 minutes walk or less</w:t>
      </w:r>
      <w:r w:rsidR="008F21BA">
        <w:t>,</w:t>
      </w:r>
      <w:r w:rsidR="004D7E11">
        <w:t xml:space="preserve"> 19.9</w:t>
      </w:r>
      <w:r>
        <w:t>% need to walk 6-10 minutes, 1</w:t>
      </w:r>
      <w:r w:rsidR="004D7E11">
        <w:t>2</w:t>
      </w:r>
      <w:r>
        <w:t>.9% are 11 or more minutes walk away and 1.</w:t>
      </w:r>
      <w:r w:rsidR="004D7E11">
        <w:t>6</w:t>
      </w:r>
      <w:r>
        <w:t>% did not know.</w:t>
      </w:r>
    </w:p>
    <w:p w14:paraId="1C11D849" w14:textId="2D4148E2" w:rsidR="008D5817" w:rsidRDefault="008D5817" w:rsidP="0066111E">
      <w:pPr>
        <w:pStyle w:val="Paragraph"/>
      </w:pPr>
      <w:r>
        <w:t>The results show a small (not statistically significant) increase of 0.</w:t>
      </w:r>
      <w:r w:rsidR="004D7E11">
        <w:t>2 percentage points</w:t>
      </w:r>
      <w:r>
        <w:t xml:space="preserve"> in the latest year, in the percentage of people within 5 minutes walk from useable green or blue space. However, at 65.</w:t>
      </w:r>
      <w:r w:rsidR="004D7E11">
        <w:t>5</w:t>
      </w:r>
      <w:r>
        <w:t xml:space="preserve">%, this is lower than 68.6% in 2014, with more people now needing to walk longer to access useable greenspace. This is reflected in the figures that indicate that more people need to walk 6-10 minutes for useable green or blue space with the </w:t>
      </w:r>
      <w:r w:rsidR="004D7E11">
        <w:t xml:space="preserve">2019 </w:t>
      </w:r>
      <w:r>
        <w:t>rate (</w:t>
      </w:r>
      <w:r w:rsidR="004D7E11">
        <w:t>19.9</w:t>
      </w:r>
      <w:r>
        <w:t>%)</w:t>
      </w:r>
      <w:r w:rsidR="004D7E11">
        <w:t>.</w:t>
      </w:r>
    </w:p>
    <w:p w14:paraId="2D0355EC" w14:textId="77777777" w:rsidR="00CA7F95" w:rsidRDefault="00CA7F95">
      <w:pPr>
        <w:tabs>
          <w:tab w:val="clear" w:pos="720"/>
          <w:tab w:val="clear" w:pos="1440"/>
          <w:tab w:val="clear" w:pos="2160"/>
          <w:tab w:val="clear" w:pos="2880"/>
          <w:tab w:val="clear" w:pos="4680"/>
          <w:tab w:val="clear" w:pos="5400"/>
          <w:tab w:val="clear" w:pos="9000"/>
        </w:tabs>
        <w:spacing w:line="240" w:lineRule="auto"/>
        <w:rPr>
          <w:rFonts w:eastAsia="Times New Roman"/>
          <w:b/>
          <w:sz w:val="44"/>
        </w:rPr>
      </w:pPr>
      <w:r>
        <w:br w:type="page"/>
      </w:r>
    </w:p>
    <w:p w14:paraId="207D6090" w14:textId="0FD82726" w:rsidR="00CA7F95" w:rsidRDefault="00CA7F95" w:rsidP="00CA7F95">
      <w:pPr>
        <w:pStyle w:val="Heading1"/>
      </w:pPr>
      <w:r w:rsidRPr="00CA7F95">
        <w:lastRenderedPageBreak/>
        <w:t>Homes that Meet Peoples Needs</w:t>
      </w:r>
    </w:p>
    <w:p w14:paraId="4E4AA17D" w14:textId="55EE1149" w:rsidR="007548C9" w:rsidRDefault="007548C9" w:rsidP="007548C9">
      <w:r>
        <w:t xml:space="preserve">[Table 3 – Summary Table on Indicator Measures for Homes that Meet Peoples Needs] </w:t>
      </w:r>
    </w:p>
    <w:p w14:paraId="72628D95" w14:textId="77777777" w:rsidR="007548C9" w:rsidRPr="007548C9" w:rsidRDefault="007548C9" w:rsidP="00407994"/>
    <w:tbl>
      <w:tblPr>
        <w:tblStyle w:val="TableGrid"/>
        <w:tblW w:w="0" w:type="auto"/>
        <w:tblLook w:val="06A0" w:firstRow="1" w:lastRow="0" w:firstColumn="1" w:lastColumn="0" w:noHBand="1" w:noVBand="1"/>
      </w:tblPr>
      <w:tblGrid>
        <w:gridCol w:w="2422"/>
        <w:gridCol w:w="1536"/>
        <w:gridCol w:w="1281"/>
        <w:gridCol w:w="1917"/>
        <w:gridCol w:w="1214"/>
        <w:gridCol w:w="1252"/>
      </w:tblGrid>
      <w:tr w:rsidR="00D67945" w:rsidRPr="00CA1472" w14:paraId="3FA9A556" w14:textId="77777777" w:rsidTr="00A77027">
        <w:trPr>
          <w:trHeight w:val="324"/>
        </w:trPr>
        <w:tc>
          <w:tcPr>
            <w:tcW w:w="2422" w:type="dxa"/>
            <w:noWrap/>
            <w:hideMark/>
          </w:tcPr>
          <w:p w14:paraId="6F815109" w14:textId="77777777" w:rsidR="00D67945" w:rsidRPr="00CA1472" w:rsidRDefault="00D67945" w:rsidP="009B6CD0">
            <w:pPr>
              <w:pStyle w:val="SGTableHeader"/>
            </w:pPr>
            <w:r w:rsidRPr="00CA1472">
              <w:t>Indicator</w:t>
            </w:r>
          </w:p>
        </w:tc>
        <w:tc>
          <w:tcPr>
            <w:tcW w:w="1536" w:type="dxa"/>
            <w:noWrap/>
            <w:hideMark/>
          </w:tcPr>
          <w:p w14:paraId="4F0EB131" w14:textId="77777777" w:rsidR="00D67945" w:rsidRPr="00CA1472" w:rsidRDefault="00D67945" w:rsidP="009B6CD0">
            <w:pPr>
              <w:pStyle w:val="SGTableHeader"/>
            </w:pPr>
            <w:r w:rsidRPr="00CA1472">
              <w:t>Previous Value</w:t>
            </w:r>
          </w:p>
        </w:tc>
        <w:tc>
          <w:tcPr>
            <w:tcW w:w="1281" w:type="dxa"/>
            <w:noWrap/>
            <w:hideMark/>
          </w:tcPr>
          <w:p w14:paraId="01B08670" w14:textId="77777777" w:rsidR="00D67945" w:rsidRPr="00CA1472" w:rsidRDefault="00D67945" w:rsidP="009B6CD0">
            <w:pPr>
              <w:pStyle w:val="SGTableHeader"/>
            </w:pPr>
            <w:r w:rsidRPr="00CA1472">
              <w:t>Latest Value</w:t>
            </w:r>
          </w:p>
        </w:tc>
        <w:tc>
          <w:tcPr>
            <w:tcW w:w="1917" w:type="dxa"/>
            <w:noWrap/>
            <w:hideMark/>
          </w:tcPr>
          <w:p w14:paraId="6C221DCC" w14:textId="77777777" w:rsidR="00D67945" w:rsidRPr="00CA1472" w:rsidRDefault="00D67945" w:rsidP="009B6CD0">
            <w:pPr>
              <w:pStyle w:val="SGTableHeader"/>
            </w:pPr>
            <w:r w:rsidRPr="00CA1472">
              <w:t>Performance</w:t>
            </w:r>
          </w:p>
        </w:tc>
        <w:tc>
          <w:tcPr>
            <w:tcW w:w="1214" w:type="dxa"/>
            <w:noWrap/>
            <w:hideMark/>
          </w:tcPr>
          <w:p w14:paraId="73DE1445" w14:textId="77777777" w:rsidR="00D67945" w:rsidRPr="00CA1472" w:rsidRDefault="00D67945" w:rsidP="009B6CD0">
            <w:pPr>
              <w:pStyle w:val="SGTableHeader"/>
            </w:pPr>
            <w:r w:rsidRPr="00CA1472">
              <w:t>Previous Update</w:t>
            </w:r>
          </w:p>
        </w:tc>
        <w:tc>
          <w:tcPr>
            <w:tcW w:w="1252" w:type="dxa"/>
            <w:noWrap/>
            <w:hideMark/>
          </w:tcPr>
          <w:p w14:paraId="29BC80E5" w14:textId="77777777" w:rsidR="00D67945" w:rsidRPr="00CA1472" w:rsidRDefault="00D67945" w:rsidP="009B6CD0">
            <w:pPr>
              <w:pStyle w:val="SGTableHeader"/>
            </w:pPr>
            <w:r w:rsidRPr="00CA1472">
              <w:t>Latest Update</w:t>
            </w:r>
          </w:p>
        </w:tc>
      </w:tr>
      <w:tr w:rsidR="00E73D16" w:rsidRPr="00CA1472" w14:paraId="6041C0CC" w14:textId="77777777" w:rsidTr="00A77027">
        <w:trPr>
          <w:trHeight w:val="696"/>
        </w:trPr>
        <w:tc>
          <w:tcPr>
            <w:tcW w:w="2422" w:type="dxa"/>
            <w:hideMark/>
          </w:tcPr>
          <w:p w14:paraId="6A38AD68" w14:textId="4291946E" w:rsidR="00E73D16" w:rsidRPr="00CA1472" w:rsidRDefault="00E73D16" w:rsidP="00E73D16">
            <w:pPr>
              <w:pStyle w:val="SGTableText"/>
            </w:pPr>
            <w:r w:rsidRPr="00C27307">
              <w:t>Housing Lists - LA &amp; CHR Gross (counts every list that each applicant is on)</w:t>
            </w:r>
          </w:p>
        </w:tc>
        <w:tc>
          <w:tcPr>
            <w:tcW w:w="1536" w:type="dxa"/>
            <w:hideMark/>
          </w:tcPr>
          <w:p w14:paraId="1B614E78" w14:textId="3C95DC58" w:rsidR="00E73D16" w:rsidRPr="00CA1472" w:rsidRDefault="007E102E" w:rsidP="00E73D16">
            <w:pPr>
              <w:pStyle w:val="SGTableText"/>
            </w:pPr>
            <w:r>
              <w:t>164,946</w:t>
            </w:r>
          </w:p>
        </w:tc>
        <w:tc>
          <w:tcPr>
            <w:tcW w:w="1281" w:type="dxa"/>
            <w:hideMark/>
          </w:tcPr>
          <w:p w14:paraId="7F0C0358" w14:textId="5C32F86E" w:rsidR="00E73D16" w:rsidRPr="00CA1472" w:rsidRDefault="007E102E" w:rsidP="00E73D16">
            <w:pPr>
              <w:pStyle w:val="SGTableText"/>
            </w:pPr>
            <w:r>
              <w:t>178,260</w:t>
            </w:r>
          </w:p>
        </w:tc>
        <w:tc>
          <w:tcPr>
            <w:tcW w:w="1917" w:type="dxa"/>
            <w:hideMark/>
          </w:tcPr>
          <w:p w14:paraId="0AE93830" w14:textId="1B54C7DB" w:rsidR="00E73D16" w:rsidRPr="00E73D16" w:rsidRDefault="000F728E" w:rsidP="00E73D16">
            <w:pPr>
              <w:pStyle w:val="SGTableText"/>
              <w:rPr>
                <w:rFonts w:ascii="Webdings" w:hAnsi="Webdings"/>
                <w:b/>
                <w:bCs/>
                <w:sz w:val="40"/>
                <w:szCs w:val="40"/>
              </w:rPr>
            </w:pPr>
            <w:r>
              <w:t>Worsening</w:t>
            </w:r>
          </w:p>
        </w:tc>
        <w:tc>
          <w:tcPr>
            <w:tcW w:w="1214" w:type="dxa"/>
            <w:hideMark/>
          </w:tcPr>
          <w:p w14:paraId="301D4E99" w14:textId="5D62D993" w:rsidR="00E73D16" w:rsidRPr="00CA1472" w:rsidRDefault="007E102E" w:rsidP="00E73D16">
            <w:pPr>
              <w:pStyle w:val="SGTableText"/>
            </w:pPr>
            <w:proofErr w:type="spellStart"/>
            <w:r w:rsidRPr="00C27307">
              <w:t>March'</w:t>
            </w:r>
            <w:r>
              <w:t>20</w:t>
            </w:r>
            <w:proofErr w:type="spellEnd"/>
          </w:p>
        </w:tc>
        <w:tc>
          <w:tcPr>
            <w:tcW w:w="1252" w:type="dxa"/>
            <w:hideMark/>
          </w:tcPr>
          <w:p w14:paraId="6F5D1028" w14:textId="3441B7BE" w:rsidR="00E73D16" w:rsidRPr="00CA1472" w:rsidRDefault="007E102E" w:rsidP="00E73D16">
            <w:pPr>
              <w:pStyle w:val="SGTableText"/>
            </w:pPr>
            <w:proofErr w:type="spellStart"/>
            <w:r w:rsidRPr="00C27307">
              <w:t>March'</w:t>
            </w:r>
            <w:r>
              <w:t>21</w:t>
            </w:r>
            <w:proofErr w:type="spellEnd"/>
          </w:p>
        </w:tc>
      </w:tr>
      <w:tr w:rsidR="00E73D16" w:rsidRPr="00CA1472" w14:paraId="79D34348" w14:textId="77777777" w:rsidTr="00A77027">
        <w:trPr>
          <w:trHeight w:val="696"/>
        </w:trPr>
        <w:tc>
          <w:tcPr>
            <w:tcW w:w="2422" w:type="dxa"/>
            <w:hideMark/>
          </w:tcPr>
          <w:p w14:paraId="558E2C19" w14:textId="348BAE37" w:rsidR="00E73D16" w:rsidRPr="00CA1472" w:rsidRDefault="00E73D16" w:rsidP="00755AFE">
            <w:pPr>
              <w:pStyle w:val="SGTableText"/>
            </w:pPr>
            <w:r w:rsidRPr="00C27307">
              <w:t>Improve access to suitable housing options for those in housing need (Homelessness 2012 Target)</w:t>
            </w:r>
          </w:p>
        </w:tc>
        <w:tc>
          <w:tcPr>
            <w:tcW w:w="1536" w:type="dxa"/>
            <w:hideMark/>
          </w:tcPr>
          <w:p w14:paraId="4A3E9AB1" w14:textId="0546A278" w:rsidR="00E73D16" w:rsidRPr="00CA1472" w:rsidRDefault="00E73D16" w:rsidP="00E73D16">
            <w:pPr>
              <w:pStyle w:val="SGTableText"/>
            </w:pPr>
            <w:r w:rsidRPr="00C27307">
              <w:t>91.0%</w:t>
            </w:r>
          </w:p>
        </w:tc>
        <w:tc>
          <w:tcPr>
            <w:tcW w:w="1281" w:type="dxa"/>
            <w:hideMark/>
          </w:tcPr>
          <w:p w14:paraId="5EC14972" w14:textId="2C9459D3" w:rsidR="00E73D16" w:rsidRPr="00CA1472" w:rsidRDefault="00E73D16" w:rsidP="00E73D16">
            <w:pPr>
              <w:pStyle w:val="SGTableText"/>
            </w:pPr>
            <w:r w:rsidRPr="00C27307">
              <w:t>95.7%</w:t>
            </w:r>
          </w:p>
        </w:tc>
        <w:tc>
          <w:tcPr>
            <w:tcW w:w="1917" w:type="dxa"/>
            <w:hideMark/>
          </w:tcPr>
          <w:p w14:paraId="382B8FC1" w14:textId="21D8F204" w:rsidR="00E73D16" w:rsidRPr="00E73D16" w:rsidRDefault="00E73D16" w:rsidP="00E73D16">
            <w:pPr>
              <w:pStyle w:val="SGTableText"/>
              <w:rPr>
                <w:rFonts w:ascii="Webdings" w:hAnsi="Webdings"/>
                <w:sz w:val="40"/>
                <w:szCs w:val="40"/>
              </w:rPr>
            </w:pPr>
            <w:r>
              <w:t>N/A</w:t>
            </w:r>
          </w:p>
        </w:tc>
        <w:tc>
          <w:tcPr>
            <w:tcW w:w="1214" w:type="dxa"/>
            <w:hideMark/>
          </w:tcPr>
          <w:p w14:paraId="7A36A3D2" w14:textId="0911290C" w:rsidR="00E73D16" w:rsidRPr="00CA1472" w:rsidRDefault="00E73D16" w:rsidP="00E73D16">
            <w:pPr>
              <w:pStyle w:val="SGTableText"/>
            </w:pPr>
            <w:r w:rsidRPr="00C27307">
              <w:t>2011/12</w:t>
            </w:r>
          </w:p>
        </w:tc>
        <w:tc>
          <w:tcPr>
            <w:tcW w:w="1252" w:type="dxa"/>
            <w:hideMark/>
          </w:tcPr>
          <w:p w14:paraId="1D379EC9" w14:textId="78090BE7" w:rsidR="00E73D16" w:rsidRPr="00CA1472" w:rsidRDefault="00E73D16" w:rsidP="00E73D16">
            <w:pPr>
              <w:pStyle w:val="SGTableText"/>
            </w:pPr>
            <w:r w:rsidRPr="00C27307">
              <w:t>2012/13</w:t>
            </w:r>
          </w:p>
        </w:tc>
      </w:tr>
      <w:tr w:rsidR="00E73D16" w:rsidRPr="00CA1472" w14:paraId="66D0CB90" w14:textId="77777777" w:rsidTr="00A77027">
        <w:trPr>
          <w:trHeight w:val="696"/>
        </w:trPr>
        <w:tc>
          <w:tcPr>
            <w:tcW w:w="2422" w:type="dxa"/>
            <w:hideMark/>
          </w:tcPr>
          <w:p w14:paraId="38C91F30" w14:textId="2AC325C6" w:rsidR="00E73D16" w:rsidRPr="00CA1472" w:rsidRDefault="00E73D16" w:rsidP="00E73D16">
            <w:pPr>
              <w:pStyle w:val="SGTableText"/>
            </w:pPr>
            <w:r w:rsidRPr="00C27307">
              <w:t>Over-Crowded Homes</w:t>
            </w:r>
          </w:p>
        </w:tc>
        <w:tc>
          <w:tcPr>
            <w:tcW w:w="1536" w:type="dxa"/>
            <w:hideMark/>
          </w:tcPr>
          <w:p w14:paraId="16BE3BFF" w14:textId="073A73E4" w:rsidR="00E73D16" w:rsidRPr="00CA1472" w:rsidRDefault="00E73D16" w:rsidP="00E73D16">
            <w:pPr>
              <w:pStyle w:val="SGTableText"/>
            </w:pPr>
            <w:r w:rsidRPr="00C27307">
              <w:t>53,000</w:t>
            </w:r>
          </w:p>
        </w:tc>
        <w:tc>
          <w:tcPr>
            <w:tcW w:w="1281" w:type="dxa"/>
            <w:hideMark/>
          </w:tcPr>
          <w:p w14:paraId="1B106B06" w14:textId="1370B565" w:rsidR="00E73D16" w:rsidRPr="00CA1472" w:rsidRDefault="00E73D16" w:rsidP="00E73D16">
            <w:pPr>
              <w:pStyle w:val="SGTableText"/>
            </w:pPr>
            <w:r w:rsidRPr="00C27307">
              <w:t>51,000</w:t>
            </w:r>
          </w:p>
        </w:tc>
        <w:tc>
          <w:tcPr>
            <w:tcW w:w="1917" w:type="dxa"/>
            <w:hideMark/>
          </w:tcPr>
          <w:p w14:paraId="5FE6804C" w14:textId="1E83D44F" w:rsidR="00E73D16" w:rsidRPr="00E73D16" w:rsidRDefault="000F728E" w:rsidP="00E73D16">
            <w:pPr>
              <w:pStyle w:val="SGTableText"/>
              <w:rPr>
                <w:rFonts w:ascii="Webdings" w:hAnsi="Webdings"/>
                <w:b/>
                <w:bCs/>
                <w:color w:val="F79646" w:themeColor="accent6"/>
                <w:sz w:val="40"/>
                <w:szCs w:val="40"/>
              </w:rPr>
            </w:pPr>
            <w:r>
              <w:t>Maintaining</w:t>
            </w:r>
          </w:p>
        </w:tc>
        <w:tc>
          <w:tcPr>
            <w:tcW w:w="1214" w:type="dxa"/>
            <w:hideMark/>
          </w:tcPr>
          <w:p w14:paraId="28D4C983" w14:textId="0EA41FCB" w:rsidR="00E73D16" w:rsidRPr="00CA1472" w:rsidRDefault="00E73D16" w:rsidP="00E73D16">
            <w:pPr>
              <w:pStyle w:val="SGTableText"/>
            </w:pPr>
            <w:r w:rsidRPr="00C27307">
              <w:t>2018</w:t>
            </w:r>
          </w:p>
        </w:tc>
        <w:tc>
          <w:tcPr>
            <w:tcW w:w="1252" w:type="dxa"/>
            <w:hideMark/>
          </w:tcPr>
          <w:p w14:paraId="064381A2" w14:textId="2D327E32" w:rsidR="00E73D16" w:rsidRPr="00CA1472" w:rsidRDefault="00E73D16" w:rsidP="00E73D16">
            <w:pPr>
              <w:pStyle w:val="SGTableText"/>
            </w:pPr>
            <w:r w:rsidRPr="00C27307">
              <w:t>2019</w:t>
            </w:r>
          </w:p>
        </w:tc>
      </w:tr>
      <w:tr w:rsidR="00E73D16" w:rsidRPr="00CA1472" w14:paraId="50EA963D" w14:textId="77777777" w:rsidTr="00A77027">
        <w:trPr>
          <w:trHeight w:val="696"/>
        </w:trPr>
        <w:tc>
          <w:tcPr>
            <w:tcW w:w="2422" w:type="dxa"/>
            <w:hideMark/>
          </w:tcPr>
          <w:p w14:paraId="731E377D" w14:textId="3B9944A2" w:rsidR="00E73D16" w:rsidRPr="00CA1472" w:rsidRDefault="00E73D16" w:rsidP="00E73D16">
            <w:pPr>
              <w:pStyle w:val="SGTableText"/>
            </w:pPr>
            <w:r w:rsidRPr="00C27307">
              <w:t>How convenient services are</w:t>
            </w:r>
          </w:p>
        </w:tc>
        <w:tc>
          <w:tcPr>
            <w:tcW w:w="1536" w:type="dxa"/>
            <w:hideMark/>
          </w:tcPr>
          <w:p w14:paraId="6943B0FE" w14:textId="25DD9F48" w:rsidR="00E73D16" w:rsidRPr="00CA1472" w:rsidRDefault="00E73D16" w:rsidP="00E73D16">
            <w:pPr>
              <w:pStyle w:val="SGTableText"/>
            </w:pPr>
            <w:r w:rsidRPr="00C27307">
              <w:t>81.4%</w:t>
            </w:r>
          </w:p>
        </w:tc>
        <w:tc>
          <w:tcPr>
            <w:tcW w:w="1281" w:type="dxa"/>
            <w:hideMark/>
          </w:tcPr>
          <w:p w14:paraId="64E9E068" w14:textId="6B6F3AB4" w:rsidR="00E73D16" w:rsidRPr="00CA1472" w:rsidRDefault="00E73D16" w:rsidP="00E73D16">
            <w:pPr>
              <w:pStyle w:val="SGTableText"/>
            </w:pPr>
            <w:r w:rsidRPr="00C27307">
              <w:t>80.8%</w:t>
            </w:r>
          </w:p>
        </w:tc>
        <w:tc>
          <w:tcPr>
            <w:tcW w:w="1917" w:type="dxa"/>
            <w:hideMark/>
          </w:tcPr>
          <w:p w14:paraId="7B52D157" w14:textId="42749392" w:rsidR="00E73D16" w:rsidRPr="00E73D16" w:rsidRDefault="000F728E" w:rsidP="00E73D16">
            <w:pPr>
              <w:pStyle w:val="SGTableText"/>
              <w:rPr>
                <w:rFonts w:ascii="Webdings" w:hAnsi="Webdings"/>
                <w:color w:val="F79646" w:themeColor="accent6"/>
                <w:sz w:val="40"/>
                <w:szCs w:val="40"/>
              </w:rPr>
            </w:pPr>
            <w:r>
              <w:t>Maintaining</w:t>
            </w:r>
          </w:p>
        </w:tc>
        <w:tc>
          <w:tcPr>
            <w:tcW w:w="1214" w:type="dxa"/>
            <w:hideMark/>
          </w:tcPr>
          <w:p w14:paraId="3335F576" w14:textId="00C78718" w:rsidR="00E73D16" w:rsidRPr="00CA1472" w:rsidRDefault="00E73D16" w:rsidP="00E73D16">
            <w:pPr>
              <w:pStyle w:val="SGTableText"/>
            </w:pPr>
            <w:r w:rsidRPr="00C27307">
              <w:t>2014</w:t>
            </w:r>
          </w:p>
        </w:tc>
        <w:tc>
          <w:tcPr>
            <w:tcW w:w="1252" w:type="dxa"/>
            <w:hideMark/>
          </w:tcPr>
          <w:p w14:paraId="38167746" w14:textId="008A801B" w:rsidR="00E73D16" w:rsidRPr="00CA1472" w:rsidRDefault="00E73D16" w:rsidP="00E73D16">
            <w:pPr>
              <w:pStyle w:val="SGTableText"/>
            </w:pPr>
            <w:r w:rsidRPr="00C27307">
              <w:t>2016</w:t>
            </w:r>
          </w:p>
        </w:tc>
      </w:tr>
      <w:tr w:rsidR="00E73D16" w:rsidRPr="00CA1472" w14:paraId="1A104525" w14:textId="77777777" w:rsidTr="00A77027">
        <w:trPr>
          <w:trHeight w:val="585"/>
        </w:trPr>
        <w:tc>
          <w:tcPr>
            <w:tcW w:w="2422" w:type="dxa"/>
            <w:hideMark/>
          </w:tcPr>
          <w:p w14:paraId="52928BE2" w14:textId="1BE92590" w:rsidR="00E73D16" w:rsidRPr="00CA1472" w:rsidRDefault="00E73D16" w:rsidP="00E73D16">
            <w:pPr>
              <w:pStyle w:val="SGTableText"/>
            </w:pPr>
            <w:r w:rsidRPr="00C27307">
              <w:t>Repossessions (UK)</w:t>
            </w:r>
          </w:p>
        </w:tc>
        <w:tc>
          <w:tcPr>
            <w:tcW w:w="1536" w:type="dxa"/>
            <w:hideMark/>
          </w:tcPr>
          <w:p w14:paraId="5B0D4241" w14:textId="55667849" w:rsidR="00E73D16" w:rsidRPr="00CA1472" w:rsidRDefault="005A33B7" w:rsidP="00E73D16">
            <w:pPr>
              <w:pStyle w:val="SGTableText"/>
            </w:pPr>
            <w:r>
              <w:t>1,459</w:t>
            </w:r>
          </w:p>
        </w:tc>
        <w:tc>
          <w:tcPr>
            <w:tcW w:w="1281" w:type="dxa"/>
            <w:hideMark/>
          </w:tcPr>
          <w:p w14:paraId="26B399B2" w14:textId="729A800C" w:rsidR="00E73D16" w:rsidRPr="00CA1472" w:rsidRDefault="005A33B7" w:rsidP="00E73D16">
            <w:pPr>
              <w:pStyle w:val="SGTableText"/>
            </w:pPr>
            <w:r>
              <w:t>1,310</w:t>
            </w:r>
          </w:p>
        </w:tc>
        <w:tc>
          <w:tcPr>
            <w:tcW w:w="1917" w:type="dxa"/>
            <w:hideMark/>
          </w:tcPr>
          <w:p w14:paraId="531C1296" w14:textId="0E214EA1" w:rsidR="00E73D16" w:rsidRPr="00E73D16" w:rsidRDefault="00807CEA" w:rsidP="00E73D16">
            <w:pPr>
              <w:pStyle w:val="SGTableText"/>
              <w:rPr>
                <w:rFonts w:ascii="Webdings" w:hAnsi="Webdings"/>
                <w:b/>
                <w:bCs/>
                <w:sz w:val="40"/>
                <w:szCs w:val="40"/>
              </w:rPr>
            </w:pPr>
            <w:r>
              <w:t>Improving</w:t>
            </w:r>
          </w:p>
        </w:tc>
        <w:tc>
          <w:tcPr>
            <w:tcW w:w="1214" w:type="dxa"/>
            <w:hideMark/>
          </w:tcPr>
          <w:p w14:paraId="7701E4EC" w14:textId="7C03F5D3" w:rsidR="00E73D16" w:rsidRPr="00CA1472" w:rsidRDefault="00E73D16" w:rsidP="00E73D16">
            <w:pPr>
              <w:pStyle w:val="SGTableText"/>
            </w:pPr>
            <w:r w:rsidRPr="00C27307">
              <w:t>2020</w:t>
            </w:r>
          </w:p>
        </w:tc>
        <w:tc>
          <w:tcPr>
            <w:tcW w:w="1252" w:type="dxa"/>
            <w:hideMark/>
          </w:tcPr>
          <w:p w14:paraId="1EB8292C" w14:textId="2E6376DC" w:rsidR="00E73D16" w:rsidRPr="00CA1472" w:rsidRDefault="00E73D16" w:rsidP="00E73D16">
            <w:pPr>
              <w:pStyle w:val="SGTableText"/>
            </w:pPr>
            <w:r w:rsidRPr="00C27307">
              <w:t>2021</w:t>
            </w:r>
          </w:p>
        </w:tc>
      </w:tr>
      <w:tr w:rsidR="00E73D16" w:rsidRPr="00CA1472" w14:paraId="10BFD73C" w14:textId="77777777" w:rsidTr="00A77027">
        <w:trPr>
          <w:trHeight w:val="585"/>
        </w:trPr>
        <w:tc>
          <w:tcPr>
            <w:tcW w:w="2422" w:type="dxa"/>
            <w:hideMark/>
          </w:tcPr>
          <w:p w14:paraId="7D394CD7" w14:textId="2B94C2D1" w:rsidR="00E73D16" w:rsidRPr="00CA1472" w:rsidRDefault="00E73D16" w:rsidP="00E73D16">
            <w:pPr>
              <w:pStyle w:val="SGTableText"/>
            </w:pPr>
            <w:r w:rsidRPr="00C27307">
              <w:t>Evictions &amp; Abandonments in the Social Sector</w:t>
            </w:r>
          </w:p>
        </w:tc>
        <w:tc>
          <w:tcPr>
            <w:tcW w:w="1536" w:type="dxa"/>
            <w:hideMark/>
          </w:tcPr>
          <w:p w14:paraId="1A45E159" w14:textId="4E202A18" w:rsidR="00E73D16" w:rsidRPr="00CA1472" w:rsidRDefault="00E73D16" w:rsidP="00E73D16">
            <w:pPr>
              <w:pStyle w:val="SGTableText"/>
            </w:pPr>
            <w:r w:rsidRPr="00C27307">
              <w:t>1,915</w:t>
            </w:r>
          </w:p>
        </w:tc>
        <w:tc>
          <w:tcPr>
            <w:tcW w:w="1281" w:type="dxa"/>
            <w:hideMark/>
          </w:tcPr>
          <w:p w14:paraId="05E2D5F2" w14:textId="4F92295E" w:rsidR="00E73D16" w:rsidRPr="00CA1472" w:rsidRDefault="00E73D16" w:rsidP="00E73D16">
            <w:pPr>
              <w:pStyle w:val="SGTableText"/>
            </w:pPr>
            <w:r w:rsidRPr="00C27307">
              <w:t>118</w:t>
            </w:r>
          </w:p>
        </w:tc>
        <w:tc>
          <w:tcPr>
            <w:tcW w:w="1917" w:type="dxa"/>
            <w:hideMark/>
          </w:tcPr>
          <w:p w14:paraId="6A366ABF" w14:textId="53D01133" w:rsidR="00E73D16" w:rsidRPr="00E73D16" w:rsidRDefault="00807CEA" w:rsidP="00E73D16">
            <w:pPr>
              <w:pStyle w:val="SGTableText"/>
              <w:rPr>
                <w:rFonts w:ascii="Webdings" w:hAnsi="Webdings"/>
                <w:sz w:val="40"/>
                <w:szCs w:val="40"/>
              </w:rPr>
            </w:pPr>
            <w:r>
              <w:t>Improving</w:t>
            </w:r>
          </w:p>
        </w:tc>
        <w:tc>
          <w:tcPr>
            <w:tcW w:w="1214" w:type="dxa"/>
            <w:hideMark/>
          </w:tcPr>
          <w:p w14:paraId="44AA0651" w14:textId="2A442F8D" w:rsidR="00E73D16" w:rsidRPr="00CA1472" w:rsidRDefault="00E73D16" w:rsidP="00E73D16">
            <w:pPr>
              <w:pStyle w:val="SGTableText"/>
            </w:pPr>
            <w:r w:rsidRPr="00C27307">
              <w:t>2019/20</w:t>
            </w:r>
          </w:p>
        </w:tc>
        <w:tc>
          <w:tcPr>
            <w:tcW w:w="1252" w:type="dxa"/>
            <w:hideMark/>
          </w:tcPr>
          <w:p w14:paraId="49C11E9A" w14:textId="15C9114F" w:rsidR="00E73D16" w:rsidRPr="00CA1472" w:rsidRDefault="00E73D16" w:rsidP="00E73D16">
            <w:pPr>
              <w:pStyle w:val="SGTableText"/>
            </w:pPr>
            <w:r w:rsidRPr="00C27307">
              <w:t>2020/21</w:t>
            </w:r>
          </w:p>
        </w:tc>
      </w:tr>
      <w:tr w:rsidR="00E73D16" w:rsidRPr="00CA1472" w14:paraId="7E58A65A" w14:textId="77777777" w:rsidTr="00A77027">
        <w:trPr>
          <w:trHeight w:val="696"/>
        </w:trPr>
        <w:tc>
          <w:tcPr>
            <w:tcW w:w="2422" w:type="dxa"/>
            <w:hideMark/>
          </w:tcPr>
          <w:p w14:paraId="2AB0D1BE" w14:textId="572C39BF" w:rsidR="00E73D16" w:rsidRPr="00CA1472" w:rsidRDefault="00E73D16" w:rsidP="00E73D16">
            <w:pPr>
              <w:pStyle w:val="SGTableText"/>
            </w:pPr>
            <w:r w:rsidRPr="00C27307">
              <w:t>Percentage of households in need, requiring one or more adaptations (based on self-assessed need)</w:t>
            </w:r>
          </w:p>
        </w:tc>
        <w:tc>
          <w:tcPr>
            <w:tcW w:w="1536" w:type="dxa"/>
            <w:hideMark/>
          </w:tcPr>
          <w:p w14:paraId="5C6B41A9" w14:textId="404354BC" w:rsidR="00E73D16" w:rsidRPr="00CA1472" w:rsidRDefault="00E73D16" w:rsidP="00E73D16">
            <w:pPr>
              <w:pStyle w:val="SGTableText"/>
            </w:pPr>
            <w:r w:rsidRPr="00C27307">
              <w:t>42.1%</w:t>
            </w:r>
          </w:p>
        </w:tc>
        <w:tc>
          <w:tcPr>
            <w:tcW w:w="1281" w:type="dxa"/>
            <w:hideMark/>
          </w:tcPr>
          <w:p w14:paraId="19C2CFDB" w14:textId="63C72904" w:rsidR="00E73D16" w:rsidRPr="00CA1472" w:rsidRDefault="00E73D16" w:rsidP="00E73D16">
            <w:pPr>
              <w:pStyle w:val="SGTableText"/>
            </w:pPr>
            <w:r w:rsidRPr="00C27307">
              <w:t>53.6%</w:t>
            </w:r>
          </w:p>
        </w:tc>
        <w:tc>
          <w:tcPr>
            <w:tcW w:w="1917" w:type="dxa"/>
            <w:hideMark/>
          </w:tcPr>
          <w:p w14:paraId="61ACC7C4" w14:textId="6A14B913" w:rsidR="00E73D16" w:rsidRPr="00E73D16" w:rsidRDefault="000F728E" w:rsidP="00E73D16">
            <w:pPr>
              <w:pStyle w:val="SGTableText"/>
              <w:rPr>
                <w:rFonts w:ascii="Webdings" w:hAnsi="Webdings"/>
                <w:b/>
                <w:bCs/>
                <w:sz w:val="40"/>
                <w:szCs w:val="40"/>
              </w:rPr>
            </w:pPr>
            <w:r>
              <w:t>Worsening</w:t>
            </w:r>
          </w:p>
        </w:tc>
        <w:tc>
          <w:tcPr>
            <w:tcW w:w="1214" w:type="dxa"/>
            <w:hideMark/>
          </w:tcPr>
          <w:p w14:paraId="3C78A7C9" w14:textId="55DA1EFB" w:rsidR="00E73D16" w:rsidRPr="00CA1472" w:rsidRDefault="00E73D16" w:rsidP="00E73D16">
            <w:pPr>
              <w:pStyle w:val="SGTableText"/>
            </w:pPr>
            <w:r w:rsidRPr="00C27307">
              <w:t>2018</w:t>
            </w:r>
          </w:p>
        </w:tc>
        <w:tc>
          <w:tcPr>
            <w:tcW w:w="1252" w:type="dxa"/>
            <w:hideMark/>
          </w:tcPr>
          <w:p w14:paraId="7BC98DFA" w14:textId="4F995CA4" w:rsidR="00E73D16" w:rsidRPr="00CA1472" w:rsidRDefault="00E73D16" w:rsidP="00E73D16">
            <w:pPr>
              <w:pStyle w:val="SGTableText"/>
            </w:pPr>
            <w:r w:rsidRPr="00C27307">
              <w:t>2019</w:t>
            </w:r>
          </w:p>
        </w:tc>
      </w:tr>
    </w:tbl>
    <w:p w14:paraId="1C2F9ED4" w14:textId="77777777" w:rsidR="00D74B7D" w:rsidRDefault="00D74B7D" w:rsidP="00A77027">
      <w:pPr>
        <w:pStyle w:val="Heading2"/>
        <w:rPr>
          <w:noProof/>
        </w:rPr>
      </w:pPr>
    </w:p>
    <w:p w14:paraId="4330EAA1" w14:textId="77777777" w:rsidR="00D74B7D" w:rsidRDefault="00D74B7D">
      <w:pPr>
        <w:tabs>
          <w:tab w:val="clear" w:pos="720"/>
          <w:tab w:val="clear" w:pos="1440"/>
          <w:tab w:val="clear" w:pos="2160"/>
          <w:tab w:val="clear" w:pos="2880"/>
          <w:tab w:val="clear" w:pos="4680"/>
          <w:tab w:val="clear" w:pos="5400"/>
          <w:tab w:val="clear" w:pos="9000"/>
        </w:tabs>
        <w:spacing w:line="240" w:lineRule="auto"/>
        <w:rPr>
          <w:rFonts w:eastAsia="Times New Roman"/>
          <w:b/>
          <w:noProof/>
          <w:sz w:val="30"/>
          <w:lang w:val="en-GB"/>
        </w:rPr>
      </w:pPr>
      <w:r>
        <w:rPr>
          <w:noProof/>
        </w:rPr>
        <w:br w:type="page"/>
      </w:r>
    </w:p>
    <w:p w14:paraId="4A258DC1" w14:textId="69ECF99D" w:rsidR="00745953" w:rsidRDefault="00A77027" w:rsidP="00A77027">
      <w:pPr>
        <w:pStyle w:val="Heading2"/>
        <w:rPr>
          <w:noProof/>
        </w:rPr>
      </w:pPr>
      <w:r w:rsidRPr="00A77027">
        <w:rPr>
          <w:noProof/>
        </w:rPr>
        <w:lastRenderedPageBreak/>
        <w:t xml:space="preserve">Accessing a Home  </w:t>
      </w:r>
    </w:p>
    <w:p w14:paraId="5F7A0149" w14:textId="7C511A8E" w:rsidR="00A77027" w:rsidRDefault="00A77027" w:rsidP="0066111E">
      <w:pPr>
        <w:pStyle w:val="Paragraph"/>
      </w:pPr>
      <w:r>
        <w:t xml:space="preserve">[Chart </w:t>
      </w:r>
      <w:r w:rsidR="00407994">
        <w:t xml:space="preserve">20 </w:t>
      </w:r>
      <w:r w:rsidR="007548C9">
        <w:t>– Housing Lists</w:t>
      </w:r>
      <w:r w:rsidR="002918EA">
        <w:t xml:space="preserve"> (Source: Scottish Government)</w:t>
      </w:r>
      <w:r>
        <w:t>]</w:t>
      </w:r>
    </w:p>
    <w:p w14:paraId="6CCB4A26" w14:textId="66248E74" w:rsidR="00D74B7D" w:rsidRDefault="00D74B7D" w:rsidP="0066111E">
      <w:pPr>
        <w:pStyle w:val="Paragraph"/>
      </w:pPr>
      <w:r>
        <w:rPr>
          <w:lang w:eastAsia="en-GB"/>
        </w:rPr>
        <w:drawing>
          <wp:inline distT="0" distB="0" distL="0" distR="0" wp14:anchorId="2379E3F7" wp14:editId="7793174B">
            <wp:extent cx="5988737" cy="2705099"/>
            <wp:effectExtent l="0" t="0" r="0" b="635"/>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988737" cy="2705099"/>
                    </a:xfrm>
                    <a:prstGeom prst="rect">
                      <a:avLst/>
                    </a:prstGeom>
                  </pic:spPr>
                </pic:pic>
              </a:graphicData>
            </a:graphic>
          </wp:inline>
        </w:drawing>
      </w:r>
    </w:p>
    <w:p w14:paraId="6A55645D" w14:textId="759DDCB1" w:rsidR="00463ED1" w:rsidRDefault="00463ED1" w:rsidP="0066111E">
      <w:pPr>
        <w:pStyle w:val="Paragraph"/>
      </w:pPr>
      <w:r>
        <w:t xml:space="preserve">The Scotland - Gross (LA &amp; CHR) estimates are based a compilation of Local Authority (LA) and Common Housing Register (CHR) Lists and includes applicants on Transfer Lists. These estimates  include double counting of applicants on more than one list but also exclude applicants on lists in the 6 LAs (including Glasgow), which have transferred all of their housing stock to Registered Social Landlords (RSLs). </w:t>
      </w:r>
    </w:p>
    <w:p w14:paraId="12530C44" w14:textId="42F3F4E9" w:rsidR="00463ED1" w:rsidRDefault="00463ED1" w:rsidP="0066111E">
      <w:pPr>
        <w:pStyle w:val="Paragraph"/>
      </w:pPr>
      <w:r>
        <w:t>The Scotland – Net (MORI) estimates are derived from the MORI Omnibus Surveys carried out  in Aug’10 and Feb’11. They cover the whole of Scotland and specifically ask about and exclude double-counting of applicants. (Please note the small sample size of this survey means the results should be treated with caution and only used as a broad indication).</w:t>
      </w:r>
    </w:p>
    <w:p w14:paraId="489919EC" w14:textId="26A2FE02" w:rsidR="00A77027" w:rsidRDefault="00463ED1" w:rsidP="0066111E">
      <w:pPr>
        <w:pStyle w:val="Paragraph"/>
        <w:rPr>
          <w:i/>
          <w:iCs/>
        </w:rPr>
      </w:pPr>
      <w:r>
        <w:t xml:space="preserve">The Scotland – Net (Scottish Household Survey) estimates are derived from questions included in the survey from 2013. They cover the whole of Scotland and also exclude double-counting of applicants on more than one list. </w:t>
      </w:r>
      <w:r w:rsidRPr="00463ED1">
        <w:rPr>
          <w:i/>
          <w:iCs/>
        </w:rPr>
        <w:t>(These estimates are based on responses from at least 9,400 households per year and can be considered to be reliable).</w:t>
      </w:r>
    </w:p>
    <w:p w14:paraId="58CFC362" w14:textId="057F34CB" w:rsidR="00FD491A" w:rsidRPr="00FD491A" w:rsidRDefault="00FD491A" w:rsidP="0066111E">
      <w:pPr>
        <w:pStyle w:val="Paragraph"/>
      </w:pPr>
      <w:r w:rsidRPr="00FD491A">
        <w:t xml:space="preserve">Recent trends show a decrease in gross (LA &amp; CHR) housing lists, falling by 44,429 (22%), from 202,235 in 2008 to 157,806 in 2018, after which there </w:t>
      </w:r>
      <w:r w:rsidR="007E102E">
        <w:t>have been increases in the years since, with 178,260 on a housing list in 2021, an increase of 8% (13,314) on the previous year</w:t>
      </w:r>
      <w:r w:rsidRPr="00FD491A">
        <w:t>.</w:t>
      </w:r>
      <w:r w:rsidR="00FE7DB4">
        <w:t xml:space="preserve"> This represents a worsening performance for this indicator.</w:t>
      </w:r>
      <w:r w:rsidRPr="00FD491A">
        <w:t xml:space="preserve"> These longer term trends need to be considered with some caution as there have been administrative changes to housing lists, including greater use of Common Housing Registers.</w:t>
      </w:r>
      <w:r w:rsidR="007548C9">
        <w:t xml:space="preserve"> With the increase in the most recent year </w:t>
      </w:r>
      <w:r w:rsidR="00FE7DB4">
        <w:t xml:space="preserve">to March </w:t>
      </w:r>
      <w:r w:rsidR="007548C9">
        <w:t>2021</w:t>
      </w:r>
      <w:r w:rsidR="00FE7DB4">
        <w:t>,</w:t>
      </w:r>
      <w:r w:rsidR="007548C9">
        <w:t xml:space="preserve"> likely to be due to impacts from the Coronavirus pandemic.</w:t>
      </w:r>
      <w:r w:rsidRPr="00FD491A">
        <w:t xml:space="preserve"> </w:t>
      </w:r>
    </w:p>
    <w:p w14:paraId="28A7DCE7" w14:textId="54D084B2" w:rsidR="00FD491A" w:rsidRPr="00FD491A" w:rsidRDefault="00FD491A" w:rsidP="0066111E">
      <w:pPr>
        <w:pStyle w:val="Paragraph"/>
      </w:pPr>
      <w:r w:rsidRPr="00FD491A">
        <w:t xml:space="preserve">The Net - MORI and Net - Scottish Household Survey results both point to a national total below that of the Gross (LA &amp; CHR) figures. The Scottish Household Survey also showed a reduction of 60,000 (35%) in the number of households on housing lists, from 170,000 in 2013 to 110,000 in 2016. However there was an increase of 20,000 (18%) to 130,000 in 2017 which remained at this level </w:t>
      </w:r>
      <w:r w:rsidR="007E102E">
        <w:t>to</w:t>
      </w:r>
      <w:r w:rsidR="007E102E" w:rsidRPr="00FD491A">
        <w:t xml:space="preserve"> </w:t>
      </w:r>
      <w:r w:rsidRPr="00FD491A">
        <w:t>201</w:t>
      </w:r>
      <w:r w:rsidR="007E102E">
        <w:t>9</w:t>
      </w:r>
      <w:r w:rsidRPr="00FD491A">
        <w:t xml:space="preserve">. In addition, in 2017 a further 20,000 households reported that they were not on a housing list, but have applied for social </w:t>
      </w:r>
      <w:r w:rsidRPr="00FD491A">
        <w:lastRenderedPageBreak/>
        <w:t>rented housing using choice based lettings, with an equivalent figure of 10,000 being seen in 2018</w:t>
      </w:r>
      <w:r w:rsidR="007E102E">
        <w:t xml:space="preserve"> and 20,000 in 2019</w:t>
      </w:r>
      <w:r w:rsidRPr="00FD491A">
        <w:t xml:space="preserve">.  </w:t>
      </w:r>
      <w:r w:rsidR="007548C9" w:rsidRPr="00F601AE">
        <w:t>Note that due to the impacts from the Covid pandemic</w:t>
      </w:r>
      <w:r w:rsidR="007548C9">
        <w:t xml:space="preserve"> period, </w:t>
      </w:r>
      <w:r w:rsidR="007548C9" w:rsidRPr="00F601AE">
        <w:t>the results of the SHS 2020 telephone survey are not directly comparable to SHS results for previous years</w:t>
      </w:r>
      <w:r w:rsidR="007548C9">
        <w:t>, and are not considered suitable for the purposes of indicator reporting</w:t>
      </w:r>
    </w:p>
    <w:p w14:paraId="55F74839" w14:textId="55123F5F" w:rsidR="00FD491A" w:rsidRDefault="00FD491A" w:rsidP="0066111E">
      <w:pPr>
        <w:pStyle w:val="Paragraph"/>
      </w:pPr>
      <w:r w:rsidRPr="00FD491A">
        <w:t>(Note. Some of the decrease in Scottish Household Survey results between 2013 and 2016 may be due to some social landlords moving to a choice based letting system, as opposed to a more traditional points based housing list system. This may have resulted in some households not considering themselves to be on a housing list even though they are actively seeking social housing. The new questions added to the 2017 survey now provide estimates of these households.)</w:t>
      </w:r>
    </w:p>
    <w:p w14:paraId="3815F3A8" w14:textId="6FD70EE3" w:rsidR="00540CC0" w:rsidRDefault="00540CC0" w:rsidP="0066111E">
      <w:pPr>
        <w:pStyle w:val="Paragraph"/>
      </w:pPr>
      <w:r>
        <w:t xml:space="preserve">[Chart </w:t>
      </w:r>
      <w:r w:rsidR="00407994">
        <w:t xml:space="preserve">21 </w:t>
      </w:r>
      <w:r w:rsidR="007548C9">
        <w:t>– Percentage of Homeless Households Entitled to Settled Accommodation</w:t>
      </w:r>
      <w:r w:rsidR="002918EA">
        <w:t xml:space="preserve"> (Source: Scottish Government - Homelessness Statistics)</w:t>
      </w:r>
      <w:r>
        <w:t>]</w:t>
      </w:r>
    </w:p>
    <w:p w14:paraId="1B8DB51B" w14:textId="50A20A44" w:rsidR="0030647C" w:rsidRDefault="00A3765F" w:rsidP="0066111E">
      <w:pPr>
        <w:pStyle w:val="Paragraph"/>
      </w:pPr>
      <w:r>
        <w:rPr>
          <w:lang w:eastAsia="en-GB"/>
        </w:rPr>
        <w:drawing>
          <wp:inline distT="0" distB="0" distL="0" distR="0" wp14:anchorId="7370B4C8" wp14:editId="10D8995F">
            <wp:extent cx="5979214" cy="2823210"/>
            <wp:effectExtent l="0" t="0" r="2540" b="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5979214" cy="2823210"/>
                    </a:xfrm>
                    <a:prstGeom prst="rect">
                      <a:avLst/>
                    </a:prstGeom>
                  </pic:spPr>
                </pic:pic>
              </a:graphicData>
            </a:graphic>
          </wp:inline>
        </w:drawing>
      </w:r>
    </w:p>
    <w:p w14:paraId="0EE78AE1" w14:textId="4C27F05F" w:rsidR="00243D53" w:rsidRDefault="00243D53" w:rsidP="0066111E">
      <w:pPr>
        <w:pStyle w:val="Paragraph"/>
      </w:pPr>
      <w:r>
        <w:t xml:space="preserve">This indicator measured progress towards the December 2012 Homelessness Target, since when all unintentionally homeless households are assessed as priority need and entitled to settled accommodation. </w:t>
      </w:r>
    </w:p>
    <w:p w14:paraId="4D4FD3F8" w14:textId="77777777" w:rsidR="00482DAB" w:rsidRDefault="00482DAB">
      <w:pPr>
        <w:tabs>
          <w:tab w:val="clear" w:pos="720"/>
          <w:tab w:val="clear" w:pos="1440"/>
          <w:tab w:val="clear" w:pos="2160"/>
          <w:tab w:val="clear" w:pos="2880"/>
          <w:tab w:val="clear" w:pos="4680"/>
          <w:tab w:val="clear" w:pos="5400"/>
          <w:tab w:val="clear" w:pos="9000"/>
        </w:tabs>
        <w:spacing w:line="240" w:lineRule="auto"/>
        <w:rPr>
          <w:rFonts w:eastAsia="Times New Roman"/>
          <w:noProof/>
          <w:lang w:val="en-GB"/>
        </w:rPr>
      </w:pPr>
      <w:r>
        <w:br w:type="page"/>
      </w:r>
    </w:p>
    <w:p w14:paraId="45287A31" w14:textId="1F44ABFF" w:rsidR="009E29B8" w:rsidRDefault="009E29B8" w:rsidP="0066111E">
      <w:pPr>
        <w:pStyle w:val="Paragraph"/>
      </w:pPr>
      <w:r>
        <w:lastRenderedPageBreak/>
        <w:t xml:space="preserve">[Chart </w:t>
      </w:r>
      <w:r w:rsidR="00407994">
        <w:t xml:space="preserve">22 </w:t>
      </w:r>
      <w:r w:rsidR="007548C9">
        <w:t>– Number of Over-Crowded Homes by Tenure</w:t>
      </w:r>
      <w:r w:rsidR="002918EA">
        <w:t xml:space="preserve"> (Source: Scottish Government - </w:t>
      </w:r>
      <w:r w:rsidR="002918EA" w:rsidRPr="002918EA">
        <w:rPr>
          <w:rFonts w:cs="Arial"/>
          <w:color w:val="000000"/>
          <w:sz w:val="28"/>
          <w:szCs w:val="28"/>
          <w:lang w:eastAsia="en-GB"/>
        </w:rPr>
        <w:t>Scottish House Conditions Survey</w:t>
      </w:r>
      <w:r w:rsidR="002918EA">
        <w:rPr>
          <w:rFonts w:cs="Arial"/>
          <w:color w:val="000000"/>
          <w:sz w:val="28"/>
          <w:szCs w:val="28"/>
          <w:lang w:eastAsia="en-GB"/>
        </w:rPr>
        <w:t>)</w:t>
      </w:r>
      <w:r>
        <w:t>]</w:t>
      </w:r>
    </w:p>
    <w:p w14:paraId="2381F534" w14:textId="1CF6CA9F" w:rsidR="00482DAB" w:rsidRDefault="00482DAB" w:rsidP="0066111E">
      <w:pPr>
        <w:pStyle w:val="Paragraph"/>
      </w:pPr>
      <w:r>
        <w:rPr>
          <w:lang w:eastAsia="en-GB"/>
        </w:rPr>
        <w:drawing>
          <wp:inline distT="0" distB="0" distL="0" distR="0" wp14:anchorId="42C7F274" wp14:editId="3DBFAB80">
            <wp:extent cx="6011459" cy="2230120"/>
            <wp:effectExtent l="0" t="0" r="8890" b="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6011459" cy="2230120"/>
                    </a:xfrm>
                    <a:prstGeom prst="rect">
                      <a:avLst/>
                    </a:prstGeom>
                  </pic:spPr>
                </pic:pic>
              </a:graphicData>
            </a:graphic>
          </wp:inline>
        </w:drawing>
      </w:r>
    </w:p>
    <w:p w14:paraId="5F9A15DF" w14:textId="371468AA" w:rsidR="009E29B8" w:rsidRDefault="009E29B8" w:rsidP="0066111E">
      <w:pPr>
        <w:pStyle w:val="Paragraph"/>
      </w:pPr>
      <w:r>
        <w:t xml:space="preserve">[Chart </w:t>
      </w:r>
      <w:r w:rsidR="00407994">
        <w:t xml:space="preserve">23 </w:t>
      </w:r>
      <w:r w:rsidR="007548C9">
        <w:t>– Number of Under-Occupied Homes by Tenure</w:t>
      </w:r>
      <w:r w:rsidR="002918EA">
        <w:t xml:space="preserve"> (Source: Scottish Government - </w:t>
      </w:r>
      <w:r w:rsidR="002918EA" w:rsidRPr="002918EA">
        <w:rPr>
          <w:rFonts w:cs="Arial"/>
          <w:color w:val="000000"/>
          <w:sz w:val="28"/>
          <w:szCs w:val="28"/>
          <w:lang w:eastAsia="en-GB"/>
        </w:rPr>
        <w:t>Scottish House Conditions Survey</w:t>
      </w:r>
      <w:r w:rsidR="002918EA">
        <w:rPr>
          <w:rFonts w:cs="Arial"/>
          <w:color w:val="000000"/>
          <w:sz w:val="28"/>
          <w:szCs w:val="28"/>
          <w:lang w:eastAsia="en-GB"/>
        </w:rPr>
        <w:t>)</w:t>
      </w:r>
      <w:r>
        <w:t>]</w:t>
      </w:r>
    </w:p>
    <w:p w14:paraId="7B100429" w14:textId="37262553" w:rsidR="00482DAB" w:rsidRDefault="00F210C0" w:rsidP="0066111E">
      <w:pPr>
        <w:pStyle w:val="Paragraph"/>
      </w:pPr>
      <w:r>
        <w:rPr>
          <w:lang w:eastAsia="en-GB"/>
        </w:rPr>
        <w:drawing>
          <wp:inline distT="0" distB="0" distL="0" distR="0" wp14:anchorId="4D72BE70" wp14:editId="1F99CD0D">
            <wp:extent cx="6116320" cy="2125516"/>
            <wp:effectExtent l="0" t="0" r="0" b="8255"/>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6116320" cy="2125516"/>
                    </a:xfrm>
                    <a:prstGeom prst="rect">
                      <a:avLst/>
                    </a:prstGeom>
                  </pic:spPr>
                </pic:pic>
              </a:graphicData>
            </a:graphic>
          </wp:inline>
        </w:drawing>
      </w:r>
    </w:p>
    <w:p w14:paraId="68B807E5" w14:textId="31B10F2C" w:rsidR="002602CC" w:rsidRDefault="002602CC" w:rsidP="0066111E">
      <w:pPr>
        <w:pStyle w:val="Paragraph"/>
      </w:pPr>
      <w:r>
        <w:t xml:space="preserve">The total number of over-crowded homes in Scotland, defined by the Bedroom Standard, fell from an estimated </w:t>
      </w:r>
      <w:r w:rsidR="004D7E11">
        <w:t>53</w:t>
      </w:r>
      <w:r>
        <w:t xml:space="preserve">,000 in </w:t>
      </w:r>
      <w:r w:rsidR="004D7E11">
        <w:t xml:space="preserve">2018 </w:t>
      </w:r>
      <w:r>
        <w:t xml:space="preserve">to </w:t>
      </w:r>
      <w:r w:rsidR="004D7E11">
        <w:t>51</w:t>
      </w:r>
      <w:r>
        <w:t xml:space="preserve">,000 in </w:t>
      </w:r>
      <w:r w:rsidR="004D7E11">
        <w:t>2019</w:t>
      </w:r>
      <w:r>
        <w:t>. In the longer term, this represents a fall of 2</w:t>
      </w:r>
      <w:r w:rsidR="004D7E11">
        <w:t>3</w:t>
      </w:r>
      <w:r>
        <w:t xml:space="preserve">,000 (or </w:t>
      </w:r>
      <w:r w:rsidR="004D7E11">
        <w:t>31</w:t>
      </w:r>
      <w:r>
        <w:t xml:space="preserve">%) from a peak of </w:t>
      </w:r>
      <w:r w:rsidR="004D7E11">
        <w:t>74</w:t>
      </w:r>
      <w:r>
        <w:t xml:space="preserve">,000 in </w:t>
      </w:r>
      <w:r w:rsidR="004D7E11">
        <w:t>2014</w:t>
      </w:r>
      <w:r>
        <w:t xml:space="preserve">. </w:t>
      </w:r>
    </w:p>
    <w:p w14:paraId="501D5ED0" w14:textId="42A7055D" w:rsidR="002602CC" w:rsidRDefault="002602CC" w:rsidP="0066111E">
      <w:pPr>
        <w:pStyle w:val="Paragraph"/>
      </w:pPr>
      <w:r>
        <w:t xml:space="preserve">In </w:t>
      </w:r>
      <w:r w:rsidR="004D7E11">
        <w:t>2019</w:t>
      </w:r>
      <w:r>
        <w:t xml:space="preserve">, 2.1% of homes in Scotland were over-crowded. This rate was highest in </w:t>
      </w:r>
      <w:r w:rsidR="004D7E11">
        <w:t xml:space="preserve">Private </w:t>
      </w:r>
      <w:r>
        <w:t xml:space="preserve">Rented Sector (4.2% or </w:t>
      </w:r>
      <w:r w:rsidR="00807CEA">
        <w:t>13</w:t>
      </w:r>
      <w:r w:rsidR="00772128">
        <w:t>,</w:t>
      </w:r>
      <w:r>
        <w:t xml:space="preserve">000 homes) and the </w:t>
      </w:r>
      <w:r w:rsidR="004D7E11">
        <w:t xml:space="preserve">Social </w:t>
      </w:r>
      <w:r>
        <w:t>Rented Sector (</w:t>
      </w:r>
      <w:r w:rsidR="004D7E11">
        <w:t>3.3</w:t>
      </w:r>
      <w:r>
        <w:t xml:space="preserve">% or </w:t>
      </w:r>
      <w:r w:rsidR="00807CEA">
        <w:t>21</w:t>
      </w:r>
      <w:r>
        <w:t>,000 homes) and lowest in the owner-occupied homes (</w:t>
      </w:r>
      <w:r w:rsidR="004D7E11">
        <w:t>1.1</w:t>
      </w:r>
      <w:r>
        <w:t xml:space="preserve">% or </w:t>
      </w:r>
      <w:r w:rsidR="00807CEA">
        <w:t>18</w:t>
      </w:r>
      <w:r>
        <w:t>,000 homes).</w:t>
      </w:r>
    </w:p>
    <w:p w14:paraId="3897F3C0" w14:textId="61CB209F" w:rsidR="002602CC" w:rsidRDefault="002602CC" w:rsidP="0066111E">
      <w:pPr>
        <w:pStyle w:val="Paragraph"/>
      </w:pPr>
      <w:r>
        <w:t xml:space="preserve">In </w:t>
      </w:r>
      <w:r w:rsidR="004D7E11">
        <w:t>2019</w:t>
      </w:r>
      <w:r>
        <w:t xml:space="preserve">, there was an increase of </w:t>
      </w:r>
      <w:r w:rsidR="004D7E11">
        <w:t>9</w:t>
      </w:r>
      <w:r>
        <w:t>,000 (</w:t>
      </w:r>
      <w:r w:rsidR="004D7E11">
        <w:t>0.5</w:t>
      </w:r>
      <w:r>
        <w:t xml:space="preserve">%) in the estimated number of under-occupied homes in Scotland from </w:t>
      </w:r>
      <w:r w:rsidR="004D7E11">
        <w:t xml:space="preserve">1.721m </w:t>
      </w:r>
      <w:r>
        <w:t>in 201</w:t>
      </w:r>
      <w:r w:rsidR="004D7E11">
        <w:t>8</w:t>
      </w:r>
      <w:r>
        <w:t xml:space="preserve"> to 1.</w:t>
      </w:r>
      <w:r w:rsidR="004D7E11">
        <w:t xml:space="preserve">730m </w:t>
      </w:r>
      <w:r>
        <w:t xml:space="preserve">in </w:t>
      </w:r>
      <w:r w:rsidR="004D7E11">
        <w:t>2019</w:t>
      </w:r>
      <w:r>
        <w:t xml:space="preserve">. </w:t>
      </w:r>
    </w:p>
    <w:p w14:paraId="0EF519BC" w14:textId="432CED95" w:rsidR="009E29B8" w:rsidRDefault="002602CC" w:rsidP="0066111E">
      <w:pPr>
        <w:pStyle w:val="Paragraph"/>
      </w:pPr>
      <w:r>
        <w:t>Overall, 69.</w:t>
      </w:r>
      <w:r w:rsidR="004D7E11">
        <w:t>3</w:t>
      </w:r>
      <w:r>
        <w:t>% of homes were under-occupied, with the rate highest in owner-occupied (</w:t>
      </w:r>
      <w:r w:rsidR="004D7E11">
        <w:t>82.9</w:t>
      </w:r>
      <w:r>
        <w:t>%) homes and lower for the Private Rented Sector (</w:t>
      </w:r>
      <w:r w:rsidR="004D7E11">
        <w:t>53.2</w:t>
      </w:r>
      <w:r>
        <w:t>%) and Social Rented Sector (</w:t>
      </w:r>
      <w:r w:rsidR="004D7E11">
        <w:t>44.0</w:t>
      </w:r>
      <w:r>
        <w:t>%).</w:t>
      </w:r>
    </w:p>
    <w:p w14:paraId="7046E2AF" w14:textId="6C773F7C" w:rsidR="007548C9" w:rsidRDefault="007548C9" w:rsidP="0066111E">
      <w:pPr>
        <w:pStyle w:val="Paragraph"/>
      </w:pPr>
      <w:r w:rsidRPr="00F601AE">
        <w:t xml:space="preserve">Note that due to the impacts from the Covid pandemic there was no </w:t>
      </w:r>
      <w:r w:rsidR="00063D63">
        <w:t xml:space="preserve">Scottish House Condition Survey </w:t>
      </w:r>
      <w:r w:rsidRPr="00F601AE">
        <w:t>physical data collected in 2020. Results from the 2021 physical survey are due to be published in 2023</w:t>
      </w:r>
      <w:r w:rsidR="005C5B26">
        <w:t>.</w:t>
      </w:r>
    </w:p>
    <w:p w14:paraId="322C7B04" w14:textId="77777777" w:rsidR="00D74DC0" w:rsidRDefault="00D74DC0">
      <w:pPr>
        <w:tabs>
          <w:tab w:val="clear" w:pos="720"/>
          <w:tab w:val="clear" w:pos="1440"/>
          <w:tab w:val="clear" w:pos="2160"/>
          <w:tab w:val="clear" w:pos="2880"/>
          <w:tab w:val="clear" w:pos="4680"/>
          <w:tab w:val="clear" w:pos="5400"/>
          <w:tab w:val="clear" w:pos="9000"/>
        </w:tabs>
        <w:spacing w:line="240" w:lineRule="auto"/>
        <w:rPr>
          <w:rFonts w:eastAsia="Times New Roman"/>
          <w:noProof/>
          <w:lang w:val="en-GB"/>
        </w:rPr>
      </w:pPr>
      <w:r>
        <w:br w:type="page"/>
      </w:r>
    </w:p>
    <w:p w14:paraId="59BC3341" w14:textId="7382BF03" w:rsidR="00055838" w:rsidRDefault="00055838" w:rsidP="0066111E">
      <w:pPr>
        <w:pStyle w:val="Paragraph"/>
      </w:pPr>
      <w:r>
        <w:lastRenderedPageBreak/>
        <w:t xml:space="preserve">[Chart </w:t>
      </w:r>
      <w:r w:rsidR="00407994">
        <w:t xml:space="preserve">24 </w:t>
      </w:r>
      <w:r w:rsidR="007548C9">
        <w:t>– Percentage of People Who Consider Services Convenient</w:t>
      </w:r>
      <w:r w:rsidR="002918EA">
        <w:t xml:space="preserve"> (Source: Scottish Government - </w:t>
      </w:r>
      <w:r w:rsidR="002918EA" w:rsidRPr="002918EA">
        <w:rPr>
          <w:rFonts w:cs="Arial"/>
          <w:color w:val="000000"/>
          <w:sz w:val="28"/>
          <w:szCs w:val="28"/>
          <w:lang w:eastAsia="en-GB"/>
        </w:rPr>
        <w:t>Scottish House</w:t>
      </w:r>
      <w:r w:rsidR="002918EA">
        <w:rPr>
          <w:rFonts w:cs="Arial"/>
          <w:color w:val="000000"/>
          <w:sz w:val="28"/>
          <w:szCs w:val="28"/>
          <w:lang w:eastAsia="en-GB"/>
        </w:rPr>
        <w:t xml:space="preserve">hold </w:t>
      </w:r>
      <w:r w:rsidR="002918EA" w:rsidRPr="002918EA">
        <w:rPr>
          <w:rFonts w:cs="Arial"/>
          <w:color w:val="000000"/>
          <w:sz w:val="28"/>
          <w:szCs w:val="28"/>
          <w:lang w:eastAsia="en-GB"/>
        </w:rPr>
        <w:t>Survey</w:t>
      </w:r>
      <w:r w:rsidR="002918EA">
        <w:rPr>
          <w:rFonts w:cs="Arial"/>
          <w:color w:val="000000"/>
          <w:sz w:val="28"/>
          <w:szCs w:val="28"/>
          <w:lang w:eastAsia="en-GB"/>
        </w:rPr>
        <w:t>)</w:t>
      </w:r>
      <w:r>
        <w:t>]</w:t>
      </w:r>
    </w:p>
    <w:p w14:paraId="427BB9EA" w14:textId="29022567" w:rsidR="002B520C" w:rsidRDefault="002B520C" w:rsidP="0066111E">
      <w:pPr>
        <w:pStyle w:val="Paragraph"/>
      </w:pPr>
      <w:r>
        <w:rPr>
          <w:lang w:eastAsia="en-GB"/>
        </w:rPr>
        <w:drawing>
          <wp:inline distT="0" distB="0" distL="0" distR="0" wp14:anchorId="5261B550" wp14:editId="2EEC46B0">
            <wp:extent cx="6012047" cy="3295015"/>
            <wp:effectExtent l="0" t="0" r="8255" b="635"/>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6012047" cy="3295015"/>
                    </a:xfrm>
                    <a:prstGeom prst="rect">
                      <a:avLst/>
                    </a:prstGeom>
                  </pic:spPr>
                </pic:pic>
              </a:graphicData>
            </a:graphic>
          </wp:inline>
        </w:drawing>
      </w:r>
    </w:p>
    <w:p w14:paraId="7BC15DE7" w14:textId="4C48BC4A" w:rsidR="00055838" w:rsidRDefault="00E65E43" w:rsidP="0066111E">
      <w:pPr>
        <w:pStyle w:val="Paragraph"/>
      </w:pPr>
      <w:r w:rsidRPr="00E65E43">
        <w:t>In 2018 the SHS question on the percentage of people who consider services convenient has been removed from the survey. Therefore data is only available up to 2016.</w:t>
      </w:r>
    </w:p>
    <w:p w14:paraId="0BA71E29" w14:textId="2D6A98C9" w:rsidR="009B427F" w:rsidRDefault="009B427F" w:rsidP="0066111E">
      <w:pPr>
        <w:pStyle w:val="Paragraph"/>
      </w:pPr>
      <w:r>
        <w:t>The percentage of people who considered local services convenient was around 78% between 2007 and 2009. This was followed by 2 years of increase to 80.5% in 2011, with a similar level in 2012 of 80.4%. The level in 2014 was 1% higher at 81.4%, before dropping slightly to 80.8% in 2016.</w:t>
      </w:r>
    </w:p>
    <w:p w14:paraId="1D6C3E73" w14:textId="253CB18F" w:rsidR="009B427F" w:rsidRDefault="009B427F" w:rsidP="0066111E">
      <w:pPr>
        <w:pStyle w:val="Paragraph"/>
      </w:pPr>
      <w:r>
        <w:t>The list of services covered includes: a small amount of food shopping; chemist; post office; cash machine and banking services; dentist and doctor surgery and hospital outpatient services; public transport; petrol station.</w:t>
      </w:r>
    </w:p>
    <w:p w14:paraId="2A9CAA53" w14:textId="77777777" w:rsidR="002D3DA1" w:rsidRDefault="002D3DA1">
      <w:pPr>
        <w:tabs>
          <w:tab w:val="clear" w:pos="720"/>
          <w:tab w:val="clear" w:pos="1440"/>
          <w:tab w:val="clear" w:pos="2160"/>
          <w:tab w:val="clear" w:pos="2880"/>
          <w:tab w:val="clear" w:pos="4680"/>
          <w:tab w:val="clear" w:pos="5400"/>
          <w:tab w:val="clear" w:pos="9000"/>
        </w:tabs>
        <w:spacing w:line="240" w:lineRule="auto"/>
        <w:rPr>
          <w:rFonts w:eastAsia="Times New Roman"/>
          <w:noProof/>
          <w:lang w:val="en-GB"/>
        </w:rPr>
      </w:pPr>
      <w:r>
        <w:br w:type="page"/>
      </w:r>
    </w:p>
    <w:p w14:paraId="5A98C280" w14:textId="4ED8B74F" w:rsidR="007548C9" w:rsidRDefault="007548C9" w:rsidP="007548C9">
      <w:pPr>
        <w:pStyle w:val="Heading2"/>
        <w:rPr>
          <w:noProof/>
        </w:rPr>
      </w:pPr>
      <w:r>
        <w:rPr>
          <w:noProof/>
        </w:rPr>
        <w:lastRenderedPageBreak/>
        <w:t>Keeping</w:t>
      </w:r>
      <w:r w:rsidRPr="00A77027">
        <w:rPr>
          <w:noProof/>
        </w:rPr>
        <w:t xml:space="preserve"> a Home  </w:t>
      </w:r>
    </w:p>
    <w:p w14:paraId="7B27D5A3" w14:textId="034B7AC4" w:rsidR="00243D53" w:rsidRDefault="00D70BCD" w:rsidP="0066111E">
      <w:pPr>
        <w:pStyle w:val="Paragraph"/>
      </w:pPr>
      <w:r>
        <w:t xml:space="preserve">[Chart </w:t>
      </w:r>
      <w:r w:rsidR="00407994">
        <w:t xml:space="preserve">25 </w:t>
      </w:r>
      <w:r w:rsidR="00175762">
        <w:t xml:space="preserve">– Number of </w:t>
      </w:r>
      <w:r w:rsidR="007548C9">
        <w:t>Reposessions</w:t>
      </w:r>
      <w:r w:rsidR="00175762">
        <w:t xml:space="preserve"> </w:t>
      </w:r>
      <w:r w:rsidR="007548C9">
        <w:t>of</w:t>
      </w:r>
      <w:r w:rsidR="00175762">
        <w:t xml:space="preserve"> Regulated</w:t>
      </w:r>
      <w:r w:rsidR="007548C9">
        <w:t xml:space="preserve"> Mortgages</w:t>
      </w:r>
      <w:r w:rsidR="005A33B7">
        <w:t xml:space="preserve"> (Securitised and Unsecuritised)</w:t>
      </w:r>
      <w:r w:rsidR="007548C9">
        <w:t xml:space="preserve"> in UK</w:t>
      </w:r>
      <w:r w:rsidR="002918EA">
        <w:t xml:space="preserve"> (Source: Financial Conduct Authority)</w:t>
      </w:r>
      <w:r>
        <w:t>]</w:t>
      </w:r>
    </w:p>
    <w:p w14:paraId="0AD76F38" w14:textId="743EED1F" w:rsidR="002D3DA1" w:rsidRDefault="002D3DA1" w:rsidP="0066111E">
      <w:pPr>
        <w:pStyle w:val="Paragraph"/>
      </w:pPr>
      <w:bookmarkStart w:id="3" w:name="_Hlk118279277"/>
      <w:r>
        <w:rPr>
          <w:lang w:eastAsia="en-GB"/>
        </w:rPr>
        <w:drawing>
          <wp:inline distT="0" distB="0" distL="0" distR="0" wp14:anchorId="2D1BBCBE" wp14:editId="47CD001C">
            <wp:extent cx="6038269" cy="3056889"/>
            <wp:effectExtent l="0" t="0" r="635" b="0"/>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6038269" cy="3056889"/>
                    </a:xfrm>
                    <a:prstGeom prst="rect">
                      <a:avLst/>
                    </a:prstGeom>
                  </pic:spPr>
                </pic:pic>
              </a:graphicData>
            </a:graphic>
          </wp:inline>
        </w:drawing>
      </w:r>
    </w:p>
    <w:bookmarkEnd w:id="3"/>
    <w:p w14:paraId="483EB5EA" w14:textId="77777777" w:rsidR="00175762" w:rsidRDefault="00175762" w:rsidP="0066111E">
      <w:pPr>
        <w:pStyle w:val="Paragraph"/>
      </w:pPr>
      <w:r>
        <w:t>UK data on mortgage repossessions is used as a proxy for the likely pattern in Scotland.</w:t>
      </w:r>
    </w:p>
    <w:p w14:paraId="28D5B6A3" w14:textId="725428C0" w:rsidR="00175762" w:rsidRDefault="00175762" w:rsidP="0066111E">
      <w:pPr>
        <w:pStyle w:val="Paragraph"/>
      </w:pPr>
      <w:r>
        <w:t>There was a steep 155% rise in the number of repossessions between 2007 and 2009, the period of the financial crisis</w:t>
      </w:r>
      <w:r w:rsidR="008A669A">
        <w:t xml:space="preserve"> and economic recession, which led to a sharp increase in unemployment</w:t>
      </w:r>
      <w:r>
        <w:t xml:space="preserve">. </w:t>
      </w:r>
      <w:r w:rsidR="008A669A">
        <w:t xml:space="preserve">As the economy began to recover, and unemployment fell, repossessions also fell, </w:t>
      </w:r>
      <w:r>
        <w:t xml:space="preserve">from 36,978 in 2009 to </w:t>
      </w:r>
      <w:r w:rsidRPr="00B140E4">
        <w:t>5,</w:t>
      </w:r>
      <w:r w:rsidR="00B140E4" w:rsidRPr="008234DC">
        <w:t>874</w:t>
      </w:r>
      <w:r>
        <w:t xml:space="preserve"> in 201</w:t>
      </w:r>
      <w:r w:rsidR="008A669A">
        <w:t>6, further supported by low mortgage rates.</w:t>
      </w:r>
      <w:r>
        <w:t xml:space="preserve"> </w:t>
      </w:r>
      <w:r w:rsidR="008A669A">
        <w:t>From 2016 to 2019, repossessons were at a relatively stable level.</w:t>
      </w:r>
    </w:p>
    <w:p w14:paraId="29CC62E2" w14:textId="3C86596C" w:rsidR="00175762" w:rsidRDefault="008A669A" w:rsidP="0066111E">
      <w:pPr>
        <w:pStyle w:val="Paragraph"/>
      </w:pPr>
      <w:r>
        <w:t xml:space="preserve">Despite the impact of the Covid-19 pandemic, repossessions fell to 1,459 in 2020 and 1,310 in 2021. A key contributor to this fall was </w:t>
      </w:r>
      <w:r w:rsidR="00175762">
        <w:t>FCA guidance which recommended that lenders provide tailored support to those affected and that evictions should not be enforced</w:t>
      </w:r>
      <w:r>
        <w:t>. Further reductions in interest rates during this period would also have helped keep repossessions low.</w:t>
      </w:r>
    </w:p>
    <w:p w14:paraId="3D52BCDE" w14:textId="77777777" w:rsidR="00175762" w:rsidRDefault="00175762" w:rsidP="0066111E">
      <w:pPr>
        <w:pStyle w:val="Paragraph"/>
      </w:pPr>
      <w:r>
        <w:t xml:space="preserve"> </w:t>
      </w:r>
    </w:p>
    <w:p w14:paraId="5426F749" w14:textId="77777777" w:rsidR="00175762" w:rsidRDefault="00175762">
      <w:pPr>
        <w:tabs>
          <w:tab w:val="clear" w:pos="720"/>
          <w:tab w:val="clear" w:pos="1440"/>
          <w:tab w:val="clear" w:pos="2160"/>
          <w:tab w:val="clear" w:pos="2880"/>
          <w:tab w:val="clear" w:pos="4680"/>
          <w:tab w:val="clear" w:pos="5400"/>
          <w:tab w:val="clear" w:pos="9000"/>
        </w:tabs>
        <w:spacing w:line="240" w:lineRule="auto"/>
        <w:rPr>
          <w:rFonts w:eastAsia="Times New Roman"/>
          <w:noProof/>
          <w:sz w:val="24"/>
          <w:lang w:val="en-GB"/>
        </w:rPr>
      </w:pPr>
      <w:r>
        <w:br w:type="page"/>
      </w:r>
    </w:p>
    <w:p w14:paraId="73D93B86" w14:textId="2A247847" w:rsidR="00730391" w:rsidRDefault="00730391" w:rsidP="0066111E">
      <w:pPr>
        <w:pStyle w:val="Paragraph"/>
      </w:pPr>
      <w:r>
        <w:lastRenderedPageBreak/>
        <w:t xml:space="preserve">[Chart </w:t>
      </w:r>
      <w:r w:rsidR="00407994">
        <w:t xml:space="preserve">26 </w:t>
      </w:r>
      <w:r w:rsidR="007548C9">
        <w:t>– Evictions or Abandomnents in the Social Rented Sector</w:t>
      </w:r>
      <w:r w:rsidR="002918EA">
        <w:t xml:space="preserve"> (Source: Scottish Government, Scottish Housing Regulator)</w:t>
      </w:r>
      <w:r>
        <w:t>]</w:t>
      </w:r>
    </w:p>
    <w:p w14:paraId="6D34C6DC" w14:textId="64C68B16" w:rsidR="00E23CAB" w:rsidRDefault="00A618C8" w:rsidP="0066111E">
      <w:pPr>
        <w:pStyle w:val="Paragraph"/>
      </w:pPr>
      <w:r>
        <w:rPr>
          <w:lang w:eastAsia="en-GB"/>
        </w:rPr>
        <w:drawing>
          <wp:inline distT="0" distB="0" distL="0" distR="0" wp14:anchorId="2FD2B697" wp14:editId="5A2ADFFC">
            <wp:extent cx="5996646" cy="3009900"/>
            <wp:effectExtent l="0" t="0" r="4445" b="0"/>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5996646" cy="3009900"/>
                    </a:xfrm>
                    <a:prstGeom prst="rect">
                      <a:avLst/>
                    </a:prstGeom>
                  </pic:spPr>
                </pic:pic>
              </a:graphicData>
            </a:graphic>
          </wp:inline>
        </w:drawing>
      </w:r>
    </w:p>
    <w:p w14:paraId="78ADB98D" w14:textId="11BE800F" w:rsidR="00747F76" w:rsidRDefault="00747F76" w:rsidP="0066111E">
      <w:pPr>
        <w:pStyle w:val="Paragraph"/>
      </w:pPr>
      <w:r>
        <w:t>There was a large decrease in the total number of evictions and abandonments from 3,573 in 2007/08 to 2,204 in 2009/10, followed by a further fall to 1,708 by 2013/14. Between 2013/14 and 2017/18 was an increase of 697 (41%), reaching 2,405 in 2017/18</w:t>
      </w:r>
      <w:r w:rsidR="00963542">
        <w:t xml:space="preserve">. </w:t>
      </w:r>
      <w:r>
        <w:t xml:space="preserve">In </w:t>
      </w:r>
      <w:r w:rsidR="004D7E11">
        <w:t>2019/20</w:t>
      </w:r>
      <w:r>
        <w:t xml:space="preserve">, there </w:t>
      </w:r>
      <w:r w:rsidR="005C5B26">
        <w:t>was</w:t>
      </w:r>
      <w:r>
        <w:t xml:space="preserve"> </w:t>
      </w:r>
      <w:r w:rsidR="004D7E11">
        <w:t>an</w:t>
      </w:r>
      <w:r>
        <w:t xml:space="preserve"> overall decrease of </w:t>
      </w:r>
      <w:r w:rsidR="004D7E11">
        <w:t>18</w:t>
      </w:r>
      <w:r>
        <w:t xml:space="preserve">% to </w:t>
      </w:r>
      <w:r w:rsidR="004D7E11">
        <w:t>1,915 from 2018/19</w:t>
      </w:r>
      <w:r>
        <w:t xml:space="preserve">. </w:t>
      </w:r>
    </w:p>
    <w:p w14:paraId="3499BB18" w14:textId="5F928279" w:rsidR="004D7E11" w:rsidRDefault="004D7E11" w:rsidP="0066111E">
      <w:pPr>
        <w:pStyle w:val="Paragraph"/>
      </w:pPr>
      <w:r>
        <w:t>In 2020/21, the total number of evictions and abandonments fell to 118, due to legislation brought in to prevent evictions during the coronavirus pandemic.</w:t>
      </w:r>
    </w:p>
    <w:p w14:paraId="4954882F" w14:textId="77777777" w:rsidR="008C4665" w:rsidRDefault="008C4665">
      <w:pPr>
        <w:tabs>
          <w:tab w:val="clear" w:pos="720"/>
          <w:tab w:val="clear" w:pos="1440"/>
          <w:tab w:val="clear" w:pos="2160"/>
          <w:tab w:val="clear" w:pos="2880"/>
          <w:tab w:val="clear" w:pos="4680"/>
          <w:tab w:val="clear" w:pos="5400"/>
          <w:tab w:val="clear" w:pos="9000"/>
        </w:tabs>
        <w:spacing w:line="240" w:lineRule="auto"/>
        <w:rPr>
          <w:rFonts w:eastAsia="Times New Roman"/>
          <w:b/>
          <w:sz w:val="30"/>
          <w:lang w:val="en-GB"/>
        </w:rPr>
      </w:pPr>
      <w:r>
        <w:br w:type="page"/>
      </w:r>
    </w:p>
    <w:p w14:paraId="5B013A91" w14:textId="77DBE106" w:rsidR="003C3F6F" w:rsidRDefault="003C3F6F" w:rsidP="003C3F6F">
      <w:pPr>
        <w:pStyle w:val="Heading2"/>
      </w:pPr>
      <w:r w:rsidRPr="003C3F6F">
        <w:lastRenderedPageBreak/>
        <w:t>Supporting Independent Living</w:t>
      </w:r>
    </w:p>
    <w:p w14:paraId="18CB64D8" w14:textId="2C0C5C53" w:rsidR="00243D53" w:rsidRDefault="003C3F6F" w:rsidP="0066111E">
      <w:pPr>
        <w:pStyle w:val="Paragraph"/>
      </w:pPr>
      <w:r>
        <w:t xml:space="preserve">[Chart </w:t>
      </w:r>
      <w:r w:rsidR="00407994">
        <w:t xml:space="preserve">27 </w:t>
      </w:r>
      <w:r w:rsidR="005C5B26">
        <w:t>– Percentage of Households in Need, Requiring One or More Adaptations</w:t>
      </w:r>
      <w:r w:rsidR="002918EA">
        <w:t xml:space="preserve"> (Source: Scottish Government - </w:t>
      </w:r>
      <w:r w:rsidR="002918EA" w:rsidRPr="002918EA">
        <w:rPr>
          <w:rFonts w:cs="Arial"/>
          <w:color w:val="000000"/>
          <w:sz w:val="28"/>
          <w:szCs w:val="28"/>
          <w:lang w:eastAsia="en-GB"/>
        </w:rPr>
        <w:t>Scottish House Conditions Survey</w:t>
      </w:r>
      <w:r w:rsidR="002918EA">
        <w:rPr>
          <w:rFonts w:cs="Arial"/>
          <w:color w:val="000000"/>
          <w:sz w:val="28"/>
          <w:szCs w:val="28"/>
          <w:lang w:eastAsia="en-GB"/>
        </w:rPr>
        <w:t>)</w:t>
      </w:r>
      <w:r>
        <w:t>]</w:t>
      </w:r>
    </w:p>
    <w:p w14:paraId="4EFBEAF2" w14:textId="5E79C2A7" w:rsidR="00276DDF" w:rsidRDefault="00276DDF" w:rsidP="0066111E">
      <w:pPr>
        <w:pStyle w:val="Paragraph"/>
      </w:pPr>
      <w:r>
        <w:rPr>
          <w:lang w:eastAsia="en-GB"/>
        </w:rPr>
        <w:drawing>
          <wp:inline distT="0" distB="0" distL="0" distR="0" wp14:anchorId="002D58F0" wp14:editId="2FE1ED70">
            <wp:extent cx="5987063" cy="2734310"/>
            <wp:effectExtent l="0" t="0" r="0" b="8890"/>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5987063" cy="2734310"/>
                    </a:xfrm>
                    <a:prstGeom prst="rect">
                      <a:avLst/>
                    </a:prstGeom>
                  </pic:spPr>
                </pic:pic>
              </a:graphicData>
            </a:graphic>
          </wp:inline>
        </w:drawing>
      </w:r>
    </w:p>
    <w:p w14:paraId="484881F3" w14:textId="01688FF9" w:rsidR="00C94EC0" w:rsidRDefault="00C94EC0" w:rsidP="0066111E">
      <w:pPr>
        <w:pStyle w:val="Paragraph"/>
      </w:pPr>
      <w:r>
        <w:t>The source of data for this indicator is the Scottish House Condition Survey. However it is based on about 230 households in the sample annually, which have (i) at least one person with a long term illness and/or disability and (ii) a self-assessed need for adaptations in the home. It is not based on needs assessed by an occupational therapist, the access route to adaptations for most people.</w:t>
      </w:r>
    </w:p>
    <w:p w14:paraId="20C2EA7A" w14:textId="1D6F1F7C" w:rsidR="00C94EC0" w:rsidRDefault="00C94EC0" w:rsidP="0066111E">
      <w:pPr>
        <w:pStyle w:val="Paragraph"/>
      </w:pPr>
      <w:r>
        <w:t xml:space="preserve">As such, this data can only be used to provide an indicative estimate of the percentage of such households in need requiring one or more adaptations, which </w:t>
      </w:r>
      <w:r w:rsidR="00094D6D">
        <w:t>averaged</w:t>
      </w:r>
      <w:r w:rsidR="00963542">
        <w:t xml:space="preserve"> </w:t>
      </w:r>
      <w:r>
        <w:t xml:space="preserve">around </w:t>
      </w:r>
      <w:r w:rsidR="00963542">
        <w:t xml:space="preserve"> 45</w:t>
      </w:r>
      <w:r w:rsidR="00094D6D">
        <w:t>.4</w:t>
      </w:r>
      <w:r>
        <w:t xml:space="preserve">% over the </w:t>
      </w:r>
      <w:r w:rsidR="004D7E11">
        <w:t xml:space="preserve">8 </w:t>
      </w:r>
      <w:r>
        <w:t>years</w:t>
      </w:r>
      <w:r w:rsidR="00963542">
        <w:t xml:space="preserve"> 2012 to 2018</w:t>
      </w:r>
      <w:r>
        <w:t>.</w:t>
      </w:r>
      <w:r w:rsidR="00963542">
        <w:t xml:space="preserve"> Results for 2019 showed an increase of 11</w:t>
      </w:r>
      <w:r w:rsidR="00094D6D">
        <w:t>.5% points to 53.6%.</w:t>
      </w:r>
      <w:r>
        <w:t xml:space="preserve"> Due to the small sample sizes, a threshold of +/-10</w:t>
      </w:r>
      <w:r w:rsidR="004D7E11">
        <w:t xml:space="preserve"> percentage points</w:t>
      </w:r>
      <w:r>
        <w:t xml:space="preserve"> has been set to determine whether this indicator is showing an ‘improving’ or ‘worsening’ position from year to year. Most annual changes </w:t>
      </w:r>
      <w:r w:rsidR="005C5B26">
        <w:t xml:space="preserve">have been </w:t>
      </w:r>
      <w:r>
        <w:t>within this threshold</w:t>
      </w:r>
      <w:r w:rsidR="004D7E11">
        <w:t xml:space="preserve">, </w:t>
      </w:r>
      <w:r w:rsidR="005C5B26">
        <w:t>al</w:t>
      </w:r>
      <w:r w:rsidR="004D7E11">
        <w:t>though the latest year performance is seen to be “</w:t>
      </w:r>
      <w:r w:rsidR="00094D6D">
        <w:t>worsening</w:t>
      </w:r>
      <w:r w:rsidR="004D7E11">
        <w:t>”.</w:t>
      </w:r>
    </w:p>
    <w:p w14:paraId="46AE5FE4" w14:textId="77777777" w:rsidR="005C5B26" w:rsidRDefault="005C5B26" w:rsidP="0066111E">
      <w:pPr>
        <w:pStyle w:val="Paragraph"/>
      </w:pPr>
      <w:r w:rsidRPr="00F601AE">
        <w:t>Note that due to the impacts from the Covid pandemic there was no physical survey SHQS data collected in 2020. Results from the 2021 physical survey are due to be published in 2023</w:t>
      </w:r>
      <w:r>
        <w:t>.</w:t>
      </w:r>
    </w:p>
    <w:p w14:paraId="7FED291E" w14:textId="77777777" w:rsidR="006B39B8" w:rsidRDefault="006B39B8">
      <w:pPr>
        <w:tabs>
          <w:tab w:val="clear" w:pos="720"/>
          <w:tab w:val="clear" w:pos="1440"/>
          <w:tab w:val="clear" w:pos="2160"/>
          <w:tab w:val="clear" w:pos="2880"/>
          <w:tab w:val="clear" w:pos="4680"/>
          <w:tab w:val="clear" w:pos="5400"/>
          <w:tab w:val="clear" w:pos="9000"/>
        </w:tabs>
        <w:spacing w:line="240" w:lineRule="auto"/>
        <w:rPr>
          <w:rFonts w:eastAsia="Times New Roman"/>
          <w:b/>
          <w:sz w:val="44"/>
        </w:rPr>
      </w:pPr>
      <w:r>
        <w:br w:type="page"/>
      </w:r>
    </w:p>
    <w:p w14:paraId="6F0670F3" w14:textId="7BA6D1D8" w:rsidR="006B39B8" w:rsidRDefault="006B39B8" w:rsidP="006B39B8">
      <w:pPr>
        <w:pStyle w:val="Heading1"/>
      </w:pPr>
      <w:r w:rsidRPr="006B39B8">
        <w:lastRenderedPageBreak/>
        <w:t>People Live in Sustainable Communities</w:t>
      </w:r>
    </w:p>
    <w:p w14:paraId="65C5813E" w14:textId="47F1689F" w:rsidR="005C5B26" w:rsidRDefault="005C5B26" w:rsidP="005C5B26">
      <w:r>
        <w:t>[Table 4 – Summary Table</w:t>
      </w:r>
      <w:r w:rsidR="00C50B56">
        <w:t xml:space="preserve"> -</w:t>
      </w:r>
      <w:r>
        <w:t xml:space="preserve"> Measures for People Live in Sustainable Communities] </w:t>
      </w:r>
    </w:p>
    <w:p w14:paraId="49CD5869" w14:textId="77777777" w:rsidR="005C5B26" w:rsidRPr="005C5B26" w:rsidRDefault="005C5B26" w:rsidP="00407994"/>
    <w:tbl>
      <w:tblPr>
        <w:tblStyle w:val="TableGrid"/>
        <w:tblW w:w="0" w:type="auto"/>
        <w:tblLook w:val="06A0" w:firstRow="1" w:lastRow="0" w:firstColumn="1" w:lastColumn="0" w:noHBand="1" w:noVBand="1"/>
      </w:tblPr>
      <w:tblGrid>
        <w:gridCol w:w="2689"/>
        <w:gridCol w:w="1406"/>
        <w:gridCol w:w="1436"/>
        <w:gridCol w:w="1645"/>
        <w:gridCol w:w="1274"/>
        <w:gridCol w:w="1172"/>
      </w:tblGrid>
      <w:tr w:rsidR="006B39B8" w:rsidRPr="00CA1472" w14:paraId="46E208C6" w14:textId="77777777" w:rsidTr="008E7914">
        <w:trPr>
          <w:trHeight w:val="324"/>
        </w:trPr>
        <w:tc>
          <w:tcPr>
            <w:tcW w:w="2689" w:type="dxa"/>
            <w:noWrap/>
            <w:hideMark/>
          </w:tcPr>
          <w:p w14:paraId="40994C28" w14:textId="77777777" w:rsidR="006B39B8" w:rsidRPr="00CA1472" w:rsidRDefault="006B39B8" w:rsidP="009B6CD0">
            <w:pPr>
              <w:pStyle w:val="SGTableHeader"/>
            </w:pPr>
            <w:r w:rsidRPr="00CA1472">
              <w:t>Indicator</w:t>
            </w:r>
          </w:p>
        </w:tc>
        <w:tc>
          <w:tcPr>
            <w:tcW w:w="1406" w:type="dxa"/>
            <w:noWrap/>
            <w:hideMark/>
          </w:tcPr>
          <w:p w14:paraId="540B83BB" w14:textId="77777777" w:rsidR="006B39B8" w:rsidRPr="00CA1472" w:rsidRDefault="006B39B8" w:rsidP="009B6CD0">
            <w:pPr>
              <w:pStyle w:val="SGTableHeader"/>
            </w:pPr>
            <w:r w:rsidRPr="00CA1472">
              <w:t>Previous Value</w:t>
            </w:r>
          </w:p>
        </w:tc>
        <w:tc>
          <w:tcPr>
            <w:tcW w:w="1436" w:type="dxa"/>
            <w:noWrap/>
            <w:hideMark/>
          </w:tcPr>
          <w:p w14:paraId="58C977AC" w14:textId="77777777" w:rsidR="006B39B8" w:rsidRPr="00CA1472" w:rsidRDefault="006B39B8" w:rsidP="009B6CD0">
            <w:pPr>
              <w:pStyle w:val="SGTableHeader"/>
            </w:pPr>
            <w:r w:rsidRPr="00CA1472">
              <w:t>Latest Value</w:t>
            </w:r>
          </w:p>
        </w:tc>
        <w:tc>
          <w:tcPr>
            <w:tcW w:w="1645" w:type="dxa"/>
            <w:noWrap/>
            <w:hideMark/>
          </w:tcPr>
          <w:p w14:paraId="4400DA0D" w14:textId="77777777" w:rsidR="006B39B8" w:rsidRPr="00CA1472" w:rsidRDefault="006B39B8" w:rsidP="009B6CD0">
            <w:pPr>
              <w:pStyle w:val="SGTableHeader"/>
            </w:pPr>
            <w:r w:rsidRPr="00CA1472">
              <w:t>Performance</w:t>
            </w:r>
          </w:p>
        </w:tc>
        <w:tc>
          <w:tcPr>
            <w:tcW w:w="1274" w:type="dxa"/>
            <w:noWrap/>
            <w:hideMark/>
          </w:tcPr>
          <w:p w14:paraId="6FB9F305" w14:textId="77777777" w:rsidR="006B39B8" w:rsidRPr="00CA1472" w:rsidRDefault="006B39B8" w:rsidP="009B6CD0">
            <w:pPr>
              <w:pStyle w:val="SGTableHeader"/>
            </w:pPr>
            <w:r w:rsidRPr="00CA1472">
              <w:t>Previous Update</w:t>
            </w:r>
          </w:p>
        </w:tc>
        <w:tc>
          <w:tcPr>
            <w:tcW w:w="1172" w:type="dxa"/>
            <w:noWrap/>
            <w:hideMark/>
          </w:tcPr>
          <w:p w14:paraId="4BACFFE6" w14:textId="77777777" w:rsidR="006B39B8" w:rsidRPr="00CA1472" w:rsidRDefault="006B39B8" w:rsidP="009B6CD0">
            <w:pPr>
              <w:pStyle w:val="SGTableHeader"/>
            </w:pPr>
            <w:r w:rsidRPr="00CA1472">
              <w:t>Latest Update</w:t>
            </w:r>
          </w:p>
        </w:tc>
      </w:tr>
      <w:tr w:rsidR="001863F1" w:rsidRPr="00CA1472" w14:paraId="735289AA" w14:textId="77777777" w:rsidTr="008E7914">
        <w:trPr>
          <w:trHeight w:val="696"/>
        </w:trPr>
        <w:tc>
          <w:tcPr>
            <w:tcW w:w="2689" w:type="dxa"/>
            <w:hideMark/>
          </w:tcPr>
          <w:p w14:paraId="6877752F" w14:textId="4CAFCBF5" w:rsidR="001863F1" w:rsidRPr="00CA1472" w:rsidRDefault="001863F1" w:rsidP="001863F1">
            <w:pPr>
              <w:pStyle w:val="SGTableText"/>
            </w:pPr>
            <w:r w:rsidRPr="007A2565">
              <w:t xml:space="preserve">Percentage of workless households </w:t>
            </w:r>
          </w:p>
        </w:tc>
        <w:tc>
          <w:tcPr>
            <w:tcW w:w="1406" w:type="dxa"/>
            <w:hideMark/>
          </w:tcPr>
          <w:p w14:paraId="49D7836F" w14:textId="2075FD49" w:rsidR="001863F1" w:rsidRPr="00CA1472" w:rsidRDefault="007E102E" w:rsidP="001863F1">
            <w:pPr>
              <w:pStyle w:val="SGTableText"/>
            </w:pPr>
            <w:r>
              <w:t>18.1</w:t>
            </w:r>
            <w:r w:rsidR="001863F1" w:rsidRPr="007A2565">
              <w:t>%</w:t>
            </w:r>
          </w:p>
        </w:tc>
        <w:tc>
          <w:tcPr>
            <w:tcW w:w="1436" w:type="dxa"/>
            <w:hideMark/>
          </w:tcPr>
          <w:p w14:paraId="6BDA20B9" w14:textId="6982ABDD" w:rsidR="001863F1" w:rsidRPr="00CA1472" w:rsidRDefault="001863F1" w:rsidP="001863F1">
            <w:pPr>
              <w:pStyle w:val="SGTableText"/>
            </w:pPr>
            <w:r w:rsidRPr="007A2565">
              <w:t>18.</w:t>
            </w:r>
            <w:r w:rsidR="007E102E">
              <w:t>6</w:t>
            </w:r>
            <w:r w:rsidRPr="007A2565">
              <w:t>%</w:t>
            </w:r>
          </w:p>
        </w:tc>
        <w:tc>
          <w:tcPr>
            <w:tcW w:w="1645" w:type="dxa"/>
            <w:hideMark/>
          </w:tcPr>
          <w:p w14:paraId="2A264C86" w14:textId="6D3DC275" w:rsidR="001863F1" w:rsidRPr="001863F1" w:rsidRDefault="000F728E" w:rsidP="001863F1">
            <w:pPr>
              <w:pStyle w:val="SGTableText"/>
              <w:rPr>
                <w:rFonts w:ascii="Webdings" w:hAnsi="Webdings"/>
                <w:b/>
                <w:bCs/>
                <w:sz w:val="40"/>
                <w:szCs w:val="40"/>
              </w:rPr>
            </w:pPr>
            <w:r>
              <w:t>Maintaining</w:t>
            </w:r>
          </w:p>
        </w:tc>
        <w:tc>
          <w:tcPr>
            <w:tcW w:w="1274" w:type="dxa"/>
            <w:hideMark/>
          </w:tcPr>
          <w:p w14:paraId="1A527923" w14:textId="55082F06" w:rsidR="001863F1" w:rsidRPr="00CA1472" w:rsidRDefault="007E102E" w:rsidP="001863F1">
            <w:pPr>
              <w:pStyle w:val="SGTableText"/>
            </w:pPr>
            <w:r w:rsidRPr="007A2565">
              <w:t>20</w:t>
            </w:r>
            <w:r>
              <w:t>20</w:t>
            </w:r>
          </w:p>
        </w:tc>
        <w:tc>
          <w:tcPr>
            <w:tcW w:w="1172" w:type="dxa"/>
            <w:hideMark/>
          </w:tcPr>
          <w:p w14:paraId="68FDFFFD" w14:textId="3600EF0B" w:rsidR="001863F1" w:rsidRPr="00CA1472" w:rsidRDefault="007E102E" w:rsidP="001863F1">
            <w:pPr>
              <w:pStyle w:val="SGTableText"/>
            </w:pPr>
            <w:r w:rsidRPr="007A2565">
              <w:t>202</w:t>
            </w:r>
            <w:r>
              <w:t>1</w:t>
            </w:r>
          </w:p>
        </w:tc>
      </w:tr>
      <w:tr w:rsidR="001863F1" w:rsidRPr="00CA1472" w14:paraId="7FF0A152" w14:textId="77777777" w:rsidTr="008E7914">
        <w:trPr>
          <w:trHeight w:val="696"/>
        </w:trPr>
        <w:tc>
          <w:tcPr>
            <w:tcW w:w="2689" w:type="dxa"/>
            <w:hideMark/>
          </w:tcPr>
          <w:p w14:paraId="40782928" w14:textId="420C1996" w:rsidR="001863F1" w:rsidRPr="00CA1472" w:rsidRDefault="001863F1" w:rsidP="001863F1">
            <w:pPr>
              <w:pStyle w:val="SGTableText"/>
            </w:pPr>
            <w:r w:rsidRPr="007A2565">
              <w:t>Employment rate (gap between deprived areas and other areas)</w:t>
            </w:r>
          </w:p>
        </w:tc>
        <w:tc>
          <w:tcPr>
            <w:tcW w:w="1406" w:type="dxa"/>
            <w:hideMark/>
          </w:tcPr>
          <w:p w14:paraId="5CCFBAAC" w14:textId="25E0191D" w:rsidR="001863F1" w:rsidRPr="00CA1472" w:rsidRDefault="001863F1" w:rsidP="001863F1">
            <w:pPr>
              <w:pStyle w:val="SGTableText"/>
            </w:pPr>
            <w:proofErr w:type="spellStart"/>
            <w:r w:rsidRPr="007A2565">
              <w:t>15.1pp</w:t>
            </w:r>
            <w:proofErr w:type="spellEnd"/>
          </w:p>
        </w:tc>
        <w:tc>
          <w:tcPr>
            <w:tcW w:w="1436" w:type="dxa"/>
            <w:hideMark/>
          </w:tcPr>
          <w:p w14:paraId="28393BD7" w14:textId="51ED398A" w:rsidR="001863F1" w:rsidRPr="00CA1472" w:rsidRDefault="001863F1" w:rsidP="001863F1">
            <w:pPr>
              <w:pStyle w:val="SGTableText"/>
            </w:pPr>
            <w:proofErr w:type="spellStart"/>
            <w:r w:rsidRPr="007A2565">
              <w:t>13.8pp</w:t>
            </w:r>
            <w:proofErr w:type="spellEnd"/>
          </w:p>
        </w:tc>
        <w:tc>
          <w:tcPr>
            <w:tcW w:w="1645" w:type="dxa"/>
            <w:hideMark/>
          </w:tcPr>
          <w:p w14:paraId="36B97B67" w14:textId="755A0686" w:rsidR="001863F1" w:rsidRPr="001863F1" w:rsidRDefault="000F728E" w:rsidP="001863F1">
            <w:pPr>
              <w:pStyle w:val="SGTableText"/>
              <w:rPr>
                <w:rFonts w:ascii="Webdings" w:hAnsi="Webdings"/>
                <w:color w:val="9BBB59" w:themeColor="accent3"/>
                <w:sz w:val="40"/>
                <w:szCs w:val="40"/>
              </w:rPr>
            </w:pPr>
            <w:r>
              <w:t>Improving</w:t>
            </w:r>
          </w:p>
        </w:tc>
        <w:tc>
          <w:tcPr>
            <w:tcW w:w="1274" w:type="dxa"/>
            <w:hideMark/>
          </w:tcPr>
          <w:p w14:paraId="04BFDF29" w14:textId="166E00D6" w:rsidR="001863F1" w:rsidRPr="00CA1472" w:rsidRDefault="001863F1" w:rsidP="001863F1">
            <w:pPr>
              <w:pStyle w:val="SGTableText"/>
            </w:pPr>
            <w:r w:rsidRPr="007A2565">
              <w:t>2020</w:t>
            </w:r>
          </w:p>
        </w:tc>
        <w:tc>
          <w:tcPr>
            <w:tcW w:w="1172" w:type="dxa"/>
            <w:hideMark/>
          </w:tcPr>
          <w:p w14:paraId="4FE0D8F9" w14:textId="762AB684" w:rsidR="001863F1" w:rsidRPr="00CA1472" w:rsidRDefault="001863F1" w:rsidP="001863F1">
            <w:pPr>
              <w:pStyle w:val="SGTableText"/>
            </w:pPr>
            <w:r w:rsidRPr="007A2565">
              <w:t>2021</w:t>
            </w:r>
          </w:p>
        </w:tc>
      </w:tr>
      <w:tr w:rsidR="001863F1" w:rsidRPr="00CA1472" w14:paraId="53A3D696" w14:textId="77777777" w:rsidTr="008E7914">
        <w:trPr>
          <w:trHeight w:val="696"/>
        </w:trPr>
        <w:tc>
          <w:tcPr>
            <w:tcW w:w="2689" w:type="dxa"/>
            <w:hideMark/>
          </w:tcPr>
          <w:p w14:paraId="4D69B0F6" w14:textId="6BE051BB" w:rsidR="001863F1" w:rsidRPr="00CA1472" w:rsidRDefault="001863F1" w:rsidP="001863F1">
            <w:pPr>
              <w:pStyle w:val="SGTableText"/>
            </w:pPr>
            <w:r w:rsidRPr="007A2565">
              <w:t xml:space="preserve">%age of people with post school qualifications (Gap between </w:t>
            </w:r>
            <w:proofErr w:type="gramStart"/>
            <w:r w:rsidRPr="007A2565">
              <w:t>deprived  areas</w:t>
            </w:r>
            <w:proofErr w:type="gramEnd"/>
            <w:r w:rsidRPr="007A2565">
              <w:t xml:space="preserve"> and other areas)</w:t>
            </w:r>
          </w:p>
        </w:tc>
        <w:tc>
          <w:tcPr>
            <w:tcW w:w="1406" w:type="dxa"/>
            <w:hideMark/>
          </w:tcPr>
          <w:p w14:paraId="6AB6B60A" w14:textId="493DABEA" w:rsidR="001863F1" w:rsidRPr="00CA1472" w:rsidRDefault="001863F1" w:rsidP="001863F1">
            <w:pPr>
              <w:pStyle w:val="SGTableText"/>
            </w:pPr>
            <w:proofErr w:type="spellStart"/>
            <w:r w:rsidRPr="007A2565">
              <w:t>22.9pp</w:t>
            </w:r>
            <w:proofErr w:type="spellEnd"/>
          </w:p>
        </w:tc>
        <w:tc>
          <w:tcPr>
            <w:tcW w:w="1436" w:type="dxa"/>
            <w:hideMark/>
          </w:tcPr>
          <w:p w14:paraId="7E729451" w14:textId="3529C4F2" w:rsidR="001863F1" w:rsidRPr="00CA1472" w:rsidRDefault="001863F1" w:rsidP="001863F1">
            <w:pPr>
              <w:pStyle w:val="SGTableText"/>
            </w:pPr>
            <w:proofErr w:type="spellStart"/>
            <w:r w:rsidRPr="007A2565">
              <w:t>16.4pp</w:t>
            </w:r>
            <w:proofErr w:type="spellEnd"/>
          </w:p>
        </w:tc>
        <w:tc>
          <w:tcPr>
            <w:tcW w:w="1645" w:type="dxa"/>
            <w:hideMark/>
          </w:tcPr>
          <w:p w14:paraId="0CB0DCD8" w14:textId="19B944FC" w:rsidR="001863F1" w:rsidRPr="001863F1" w:rsidRDefault="000F728E" w:rsidP="001863F1">
            <w:pPr>
              <w:pStyle w:val="SGTableText"/>
              <w:rPr>
                <w:rFonts w:ascii="Webdings" w:hAnsi="Webdings"/>
                <w:b/>
                <w:bCs/>
                <w:color w:val="9BBB59" w:themeColor="accent3"/>
                <w:sz w:val="40"/>
                <w:szCs w:val="40"/>
              </w:rPr>
            </w:pPr>
            <w:r>
              <w:t>Improving</w:t>
            </w:r>
          </w:p>
        </w:tc>
        <w:tc>
          <w:tcPr>
            <w:tcW w:w="1274" w:type="dxa"/>
            <w:hideMark/>
          </w:tcPr>
          <w:p w14:paraId="7814EFDB" w14:textId="657A5ABA" w:rsidR="001863F1" w:rsidRPr="00CA1472" w:rsidRDefault="001863F1" w:rsidP="001863F1">
            <w:pPr>
              <w:pStyle w:val="SGTableText"/>
            </w:pPr>
            <w:r w:rsidRPr="007A2565">
              <w:t>2020</w:t>
            </w:r>
          </w:p>
        </w:tc>
        <w:tc>
          <w:tcPr>
            <w:tcW w:w="1172" w:type="dxa"/>
            <w:hideMark/>
          </w:tcPr>
          <w:p w14:paraId="564296E6" w14:textId="2F6FA3D2" w:rsidR="001863F1" w:rsidRPr="00CA1472" w:rsidRDefault="001863F1" w:rsidP="001863F1">
            <w:pPr>
              <w:pStyle w:val="SGTableText"/>
            </w:pPr>
            <w:r w:rsidRPr="007A2565">
              <w:t>2021</w:t>
            </w:r>
          </w:p>
        </w:tc>
      </w:tr>
      <w:tr w:rsidR="001863F1" w:rsidRPr="00CA1472" w14:paraId="30D67D95" w14:textId="77777777" w:rsidTr="008E7914">
        <w:trPr>
          <w:trHeight w:val="696"/>
        </w:trPr>
        <w:tc>
          <w:tcPr>
            <w:tcW w:w="2689" w:type="dxa"/>
            <w:hideMark/>
          </w:tcPr>
          <w:p w14:paraId="4F6C1AF3" w14:textId="54F6ACED" w:rsidR="001863F1" w:rsidRPr="00CA1472" w:rsidRDefault="001863F1" w:rsidP="001863F1">
            <w:pPr>
              <w:pStyle w:val="SGTableText"/>
            </w:pPr>
            <w:r w:rsidRPr="007A2565">
              <w:t xml:space="preserve">Healthy Life Expectancy (Males) (gap between deprived areas and Scotland average in years) </w:t>
            </w:r>
          </w:p>
        </w:tc>
        <w:tc>
          <w:tcPr>
            <w:tcW w:w="1406" w:type="dxa"/>
            <w:hideMark/>
          </w:tcPr>
          <w:p w14:paraId="0152A9AF" w14:textId="534A5A8D" w:rsidR="001863F1" w:rsidRPr="00CA1472" w:rsidRDefault="001863F1" w:rsidP="001863F1">
            <w:pPr>
              <w:pStyle w:val="SGTableText"/>
            </w:pPr>
            <w:r w:rsidRPr="007A2565">
              <w:t>8.6</w:t>
            </w:r>
          </w:p>
        </w:tc>
        <w:tc>
          <w:tcPr>
            <w:tcW w:w="1436" w:type="dxa"/>
            <w:hideMark/>
          </w:tcPr>
          <w:p w14:paraId="5B444409" w14:textId="754A84A4" w:rsidR="001863F1" w:rsidRPr="00CA1472" w:rsidRDefault="001863F1" w:rsidP="001863F1">
            <w:pPr>
              <w:pStyle w:val="SGTableText"/>
            </w:pPr>
            <w:r w:rsidRPr="007A2565">
              <w:t>10.1</w:t>
            </w:r>
          </w:p>
        </w:tc>
        <w:tc>
          <w:tcPr>
            <w:tcW w:w="1645" w:type="dxa"/>
            <w:hideMark/>
          </w:tcPr>
          <w:p w14:paraId="64F30694" w14:textId="73982639" w:rsidR="001863F1" w:rsidRPr="001863F1" w:rsidRDefault="000F728E" w:rsidP="001863F1">
            <w:pPr>
              <w:pStyle w:val="SGTableText"/>
              <w:rPr>
                <w:rFonts w:ascii="Webdings" w:hAnsi="Webdings"/>
                <w:color w:val="F79646" w:themeColor="accent6"/>
                <w:sz w:val="40"/>
                <w:szCs w:val="40"/>
              </w:rPr>
            </w:pPr>
            <w:r>
              <w:t>Maintaining</w:t>
            </w:r>
          </w:p>
        </w:tc>
        <w:tc>
          <w:tcPr>
            <w:tcW w:w="1274" w:type="dxa"/>
            <w:hideMark/>
          </w:tcPr>
          <w:p w14:paraId="5A5043FD" w14:textId="51DE861A" w:rsidR="001863F1" w:rsidRPr="00CA1472" w:rsidRDefault="001863F1" w:rsidP="001863F1">
            <w:pPr>
              <w:pStyle w:val="SGTableText"/>
            </w:pPr>
            <w:r w:rsidRPr="007A2565">
              <w:t>2017-19</w:t>
            </w:r>
          </w:p>
        </w:tc>
        <w:tc>
          <w:tcPr>
            <w:tcW w:w="1172" w:type="dxa"/>
            <w:hideMark/>
          </w:tcPr>
          <w:p w14:paraId="544D3426" w14:textId="75A84CA6" w:rsidR="001863F1" w:rsidRPr="00CA1472" w:rsidRDefault="001863F1" w:rsidP="001863F1">
            <w:pPr>
              <w:pStyle w:val="SGTableText"/>
            </w:pPr>
            <w:r w:rsidRPr="007A2565">
              <w:t>2018-20</w:t>
            </w:r>
          </w:p>
        </w:tc>
      </w:tr>
      <w:tr w:rsidR="001863F1" w:rsidRPr="00CA1472" w14:paraId="3F254E87" w14:textId="77777777" w:rsidTr="008E7914">
        <w:trPr>
          <w:trHeight w:val="585"/>
        </w:trPr>
        <w:tc>
          <w:tcPr>
            <w:tcW w:w="2689" w:type="dxa"/>
            <w:hideMark/>
          </w:tcPr>
          <w:p w14:paraId="2F9C868F" w14:textId="1BC91117" w:rsidR="001863F1" w:rsidRPr="00CA1472" w:rsidRDefault="001863F1" w:rsidP="001863F1">
            <w:pPr>
              <w:pStyle w:val="SGTableText"/>
            </w:pPr>
            <w:r w:rsidRPr="007A2565">
              <w:t xml:space="preserve">Percentage of people </w:t>
            </w:r>
            <w:r w:rsidR="002918EA" w:rsidRPr="007A2565">
              <w:t>rating their</w:t>
            </w:r>
            <w:r w:rsidRPr="007A2565">
              <w:t xml:space="preserve"> neighbourhood as a very good place to live (</w:t>
            </w:r>
            <w:proofErr w:type="spellStart"/>
            <w:r w:rsidRPr="007A2565">
              <w:t>NPF</w:t>
            </w:r>
            <w:proofErr w:type="spellEnd"/>
            <w:r w:rsidRPr="007A2565">
              <w:t xml:space="preserve"> National Indicator)</w:t>
            </w:r>
          </w:p>
        </w:tc>
        <w:tc>
          <w:tcPr>
            <w:tcW w:w="1406" w:type="dxa"/>
            <w:hideMark/>
          </w:tcPr>
          <w:p w14:paraId="22E2F617" w14:textId="34C1E924" w:rsidR="001863F1" w:rsidRPr="00CA1472" w:rsidRDefault="00755AFE" w:rsidP="00755AFE">
            <w:pPr>
              <w:pStyle w:val="SGTableText"/>
            </w:pPr>
            <w:r>
              <w:t>57.4%</w:t>
            </w:r>
          </w:p>
        </w:tc>
        <w:tc>
          <w:tcPr>
            <w:tcW w:w="1436" w:type="dxa"/>
            <w:hideMark/>
          </w:tcPr>
          <w:p w14:paraId="78079789" w14:textId="79083904" w:rsidR="001863F1" w:rsidRPr="00CA1472" w:rsidRDefault="00755AFE" w:rsidP="00755AFE">
            <w:pPr>
              <w:pStyle w:val="SGTableText"/>
            </w:pPr>
            <w:r>
              <w:t>57.0%</w:t>
            </w:r>
          </w:p>
        </w:tc>
        <w:tc>
          <w:tcPr>
            <w:tcW w:w="1645" w:type="dxa"/>
            <w:hideMark/>
          </w:tcPr>
          <w:p w14:paraId="564D5209" w14:textId="2EFF5F21" w:rsidR="001863F1" w:rsidRPr="001863F1" w:rsidRDefault="000F728E" w:rsidP="001863F1">
            <w:pPr>
              <w:pStyle w:val="SGTableText"/>
              <w:rPr>
                <w:rFonts w:ascii="Webdings" w:hAnsi="Webdings"/>
                <w:b/>
                <w:bCs/>
                <w:color w:val="F79646" w:themeColor="accent6"/>
                <w:sz w:val="40"/>
                <w:szCs w:val="40"/>
              </w:rPr>
            </w:pPr>
            <w:r>
              <w:t>Maintaining</w:t>
            </w:r>
          </w:p>
        </w:tc>
        <w:tc>
          <w:tcPr>
            <w:tcW w:w="1274" w:type="dxa"/>
            <w:hideMark/>
          </w:tcPr>
          <w:p w14:paraId="6F51196E" w14:textId="2D1FB39D" w:rsidR="001863F1" w:rsidRPr="00CA1472" w:rsidRDefault="001863F1" w:rsidP="001863F1">
            <w:pPr>
              <w:pStyle w:val="SGTableText"/>
            </w:pPr>
            <w:r w:rsidRPr="007A2565">
              <w:t>2018</w:t>
            </w:r>
          </w:p>
        </w:tc>
        <w:tc>
          <w:tcPr>
            <w:tcW w:w="1172" w:type="dxa"/>
            <w:hideMark/>
          </w:tcPr>
          <w:p w14:paraId="15497BF6" w14:textId="3ADBC5A8" w:rsidR="001863F1" w:rsidRPr="00CA1472" w:rsidRDefault="001863F1" w:rsidP="001863F1">
            <w:pPr>
              <w:pStyle w:val="SGTableText"/>
            </w:pPr>
            <w:r w:rsidRPr="007A2565">
              <w:t>2019</w:t>
            </w:r>
          </w:p>
        </w:tc>
      </w:tr>
      <w:tr w:rsidR="001863F1" w:rsidRPr="00CA1472" w14:paraId="70F8E0F1" w14:textId="77777777" w:rsidTr="008E7914">
        <w:trPr>
          <w:trHeight w:val="585"/>
        </w:trPr>
        <w:tc>
          <w:tcPr>
            <w:tcW w:w="2689" w:type="dxa"/>
            <w:hideMark/>
          </w:tcPr>
          <w:p w14:paraId="154279CC" w14:textId="0FE98BCA" w:rsidR="001863F1" w:rsidRPr="00CA1472" w:rsidRDefault="001863F1" w:rsidP="001863F1">
            <w:pPr>
              <w:pStyle w:val="SGTableText"/>
            </w:pPr>
            <w:r w:rsidRPr="007A2565">
              <w:t>Amount of vacant and derelict land</w:t>
            </w:r>
          </w:p>
        </w:tc>
        <w:tc>
          <w:tcPr>
            <w:tcW w:w="1406" w:type="dxa"/>
            <w:hideMark/>
          </w:tcPr>
          <w:p w14:paraId="3247380A" w14:textId="7A323D9B" w:rsidR="001863F1" w:rsidRPr="00CA1472" w:rsidRDefault="001863F1" w:rsidP="001863F1">
            <w:pPr>
              <w:pStyle w:val="SGTableText"/>
            </w:pPr>
            <w:r w:rsidRPr="007A2565">
              <w:t>10,926</w:t>
            </w:r>
          </w:p>
        </w:tc>
        <w:tc>
          <w:tcPr>
            <w:tcW w:w="1436" w:type="dxa"/>
            <w:hideMark/>
          </w:tcPr>
          <w:p w14:paraId="713DA28F" w14:textId="64745DEB" w:rsidR="001863F1" w:rsidRPr="00CA1472" w:rsidRDefault="001863F1" w:rsidP="001863F1">
            <w:pPr>
              <w:pStyle w:val="SGTableText"/>
            </w:pPr>
            <w:r w:rsidRPr="007A2565">
              <w:t>9,750</w:t>
            </w:r>
          </w:p>
        </w:tc>
        <w:tc>
          <w:tcPr>
            <w:tcW w:w="1645" w:type="dxa"/>
            <w:hideMark/>
          </w:tcPr>
          <w:p w14:paraId="64923A5D" w14:textId="15F149BC" w:rsidR="001863F1" w:rsidRPr="001863F1" w:rsidRDefault="000F728E" w:rsidP="001863F1">
            <w:pPr>
              <w:pStyle w:val="SGTableText"/>
              <w:rPr>
                <w:rFonts w:ascii="Webdings" w:hAnsi="Webdings"/>
                <w:sz w:val="40"/>
                <w:szCs w:val="40"/>
              </w:rPr>
            </w:pPr>
            <w:r>
              <w:t>Improving</w:t>
            </w:r>
          </w:p>
        </w:tc>
        <w:tc>
          <w:tcPr>
            <w:tcW w:w="1274" w:type="dxa"/>
            <w:hideMark/>
          </w:tcPr>
          <w:p w14:paraId="58D5E9B6" w14:textId="42A687DF" w:rsidR="001863F1" w:rsidRPr="00CA1472" w:rsidRDefault="001863F1" w:rsidP="001863F1">
            <w:pPr>
              <w:pStyle w:val="SGTableText"/>
            </w:pPr>
            <w:r w:rsidRPr="007A2565">
              <w:t>2019</w:t>
            </w:r>
          </w:p>
        </w:tc>
        <w:tc>
          <w:tcPr>
            <w:tcW w:w="1172" w:type="dxa"/>
            <w:hideMark/>
          </w:tcPr>
          <w:p w14:paraId="2173C27C" w14:textId="59E39FD4" w:rsidR="001863F1" w:rsidRPr="00CA1472" w:rsidRDefault="001863F1" w:rsidP="001863F1">
            <w:pPr>
              <w:pStyle w:val="SGTableText"/>
            </w:pPr>
            <w:r w:rsidRPr="007A2565">
              <w:t>2021</w:t>
            </w:r>
          </w:p>
        </w:tc>
      </w:tr>
      <w:tr w:rsidR="001863F1" w:rsidRPr="00CA1472" w14:paraId="18BEF8CE" w14:textId="77777777" w:rsidTr="008E7914">
        <w:trPr>
          <w:trHeight w:val="585"/>
        </w:trPr>
        <w:tc>
          <w:tcPr>
            <w:tcW w:w="2689" w:type="dxa"/>
          </w:tcPr>
          <w:p w14:paraId="7B4CAB1C" w14:textId="0C777B7C" w:rsidR="001863F1" w:rsidRPr="00C27307" w:rsidRDefault="001863F1" w:rsidP="001863F1">
            <w:pPr>
              <w:pStyle w:val="SGTableText"/>
            </w:pPr>
            <w:r w:rsidRPr="007A2565">
              <w:t>%</w:t>
            </w:r>
            <w:proofErr w:type="gramStart"/>
            <w:r w:rsidRPr="007A2565">
              <w:t>age</w:t>
            </w:r>
            <w:proofErr w:type="gramEnd"/>
            <w:r w:rsidRPr="007A2565">
              <w:t xml:space="preserve"> of people who agree their council provides a high quality service</w:t>
            </w:r>
          </w:p>
        </w:tc>
        <w:tc>
          <w:tcPr>
            <w:tcW w:w="1406" w:type="dxa"/>
          </w:tcPr>
          <w:p w14:paraId="474D4ADB" w14:textId="1F117C43" w:rsidR="001863F1" w:rsidRPr="00C27307" w:rsidRDefault="00C50B56" w:rsidP="001863F1">
            <w:pPr>
              <w:pStyle w:val="SGTableText"/>
            </w:pPr>
            <w:r>
              <w:t>46.0</w:t>
            </w:r>
            <w:r w:rsidR="001863F1" w:rsidRPr="007A2565">
              <w:t>%</w:t>
            </w:r>
          </w:p>
        </w:tc>
        <w:tc>
          <w:tcPr>
            <w:tcW w:w="1436" w:type="dxa"/>
          </w:tcPr>
          <w:p w14:paraId="7B3D8CCB" w14:textId="206A3234" w:rsidR="001863F1" w:rsidRPr="00C27307" w:rsidRDefault="00C50B56" w:rsidP="001863F1">
            <w:pPr>
              <w:pStyle w:val="SGTableText"/>
            </w:pPr>
            <w:r>
              <w:t>44.3</w:t>
            </w:r>
            <w:r w:rsidR="001863F1" w:rsidRPr="007A2565">
              <w:t>%</w:t>
            </w:r>
          </w:p>
        </w:tc>
        <w:tc>
          <w:tcPr>
            <w:tcW w:w="1645" w:type="dxa"/>
          </w:tcPr>
          <w:p w14:paraId="034F54C4" w14:textId="64A6757B" w:rsidR="001863F1" w:rsidRPr="001863F1" w:rsidRDefault="000F728E" w:rsidP="001863F1">
            <w:pPr>
              <w:pStyle w:val="SGTableText"/>
              <w:rPr>
                <w:rFonts w:ascii="Webdings" w:hAnsi="Webdings"/>
                <w:color w:val="C0504D" w:themeColor="accent2"/>
                <w:sz w:val="40"/>
                <w:szCs w:val="40"/>
              </w:rPr>
            </w:pPr>
            <w:r>
              <w:t>Worsening</w:t>
            </w:r>
          </w:p>
        </w:tc>
        <w:tc>
          <w:tcPr>
            <w:tcW w:w="1274" w:type="dxa"/>
          </w:tcPr>
          <w:p w14:paraId="157390FD" w14:textId="61EA07B0" w:rsidR="001863F1" w:rsidRPr="00C27307" w:rsidRDefault="001863F1" w:rsidP="001863F1">
            <w:pPr>
              <w:pStyle w:val="SGTableText"/>
            </w:pPr>
            <w:r w:rsidRPr="007A2565">
              <w:t>2018</w:t>
            </w:r>
          </w:p>
        </w:tc>
        <w:tc>
          <w:tcPr>
            <w:tcW w:w="1172" w:type="dxa"/>
          </w:tcPr>
          <w:p w14:paraId="0D8DECB8" w14:textId="6A35C2C0" w:rsidR="001863F1" w:rsidRPr="00C27307" w:rsidRDefault="001863F1" w:rsidP="001863F1">
            <w:pPr>
              <w:pStyle w:val="SGTableText"/>
            </w:pPr>
            <w:r w:rsidRPr="007A2565">
              <w:t>2019</w:t>
            </w:r>
          </w:p>
        </w:tc>
      </w:tr>
      <w:tr w:rsidR="001863F1" w:rsidRPr="00CA1472" w14:paraId="7B44167B" w14:textId="77777777" w:rsidTr="008E7914">
        <w:trPr>
          <w:trHeight w:val="585"/>
        </w:trPr>
        <w:tc>
          <w:tcPr>
            <w:tcW w:w="2689" w:type="dxa"/>
          </w:tcPr>
          <w:p w14:paraId="6125E83B" w14:textId="2B7D3B75" w:rsidR="001863F1" w:rsidRPr="00C27307" w:rsidRDefault="001863F1" w:rsidP="001863F1">
            <w:pPr>
              <w:pStyle w:val="SGTableText"/>
            </w:pPr>
            <w:r w:rsidRPr="007A2565">
              <w:t>%</w:t>
            </w:r>
            <w:proofErr w:type="gramStart"/>
            <w:r w:rsidRPr="007A2565">
              <w:t>age</w:t>
            </w:r>
            <w:proofErr w:type="gramEnd"/>
            <w:r w:rsidRPr="007A2565">
              <w:t xml:space="preserve"> of people satisfied with community centres and facilities</w:t>
            </w:r>
          </w:p>
        </w:tc>
        <w:tc>
          <w:tcPr>
            <w:tcW w:w="1406" w:type="dxa"/>
          </w:tcPr>
          <w:p w14:paraId="064B0CC2" w14:textId="73ABAC4C" w:rsidR="001863F1" w:rsidRPr="00C27307" w:rsidRDefault="00407994" w:rsidP="001863F1">
            <w:pPr>
              <w:pStyle w:val="SGTableText"/>
            </w:pPr>
            <w:r>
              <w:t>30.7</w:t>
            </w:r>
            <w:r w:rsidR="001863F1" w:rsidRPr="007A2565">
              <w:t>%</w:t>
            </w:r>
          </w:p>
        </w:tc>
        <w:tc>
          <w:tcPr>
            <w:tcW w:w="1436" w:type="dxa"/>
          </w:tcPr>
          <w:p w14:paraId="0835227B" w14:textId="75D65CF1" w:rsidR="001863F1" w:rsidRPr="00C27307" w:rsidRDefault="00407994" w:rsidP="001863F1">
            <w:pPr>
              <w:pStyle w:val="SGTableText"/>
            </w:pPr>
            <w:r>
              <w:t>28.9</w:t>
            </w:r>
            <w:r w:rsidR="001863F1" w:rsidRPr="007A2565">
              <w:t>%</w:t>
            </w:r>
          </w:p>
        </w:tc>
        <w:tc>
          <w:tcPr>
            <w:tcW w:w="1645" w:type="dxa"/>
          </w:tcPr>
          <w:p w14:paraId="79787E67" w14:textId="60F5D4C3" w:rsidR="001863F1" w:rsidRPr="001863F1" w:rsidRDefault="000F728E" w:rsidP="001863F1">
            <w:pPr>
              <w:pStyle w:val="SGTableText"/>
              <w:rPr>
                <w:rFonts w:ascii="Webdings" w:hAnsi="Webdings"/>
                <w:color w:val="C0504D" w:themeColor="accent2"/>
                <w:sz w:val="40"/>
                <w:szCs w:val="40"/>
              </w:rPr>
            </w:pPr>
            <w:r>
              <w:t>Worsening</w:t>
            </w:r>
          </w:p>
        </w:tc>
        <w:tc>
          <w:tcPr>
            <w:tcW w:w="1274" w:type="dxa"/>
          </w:tcPr>
          <w:p w14:paraId="1E963EB0" w14:textId="5EE6F29B" w:rsidR="001863F1" w:rsidRPr="00C27307" w:rsidRDefault="00407994" w:rsidP="001863F1">
            <w:pPr>
              <w:pStyle w:val="SGTableText"/>
            </w:pPr>
            <w:r w:rsidRPr="007A2565">
              <w:t>20</w:t>
            </w:r>
            <w:r>
              <w:t>18</w:t>
            </w:r>
          </w:p>
        </w:tc>
        <w:tc>
          <w:tcPr>
            <w:tcW w:w="1172" w:type="dxa"/>
          </w:tcPr>
          <w:p w14:paraId="04EFB6CA" w14:textId="4DE66E25" w:rsidR="001863F1" w:rsidRPr="00C27307" w:rsidRDefault="00407994" w:rsidP="001863F1">
            <w:pPr>
              <w:pStyle w:val="SGTableText"/>
            </w:pPr>
            <w:r w:rsidRPr="007A2565">
              <w:t>20</w:t>
            </w:r>
            <w:r>
              <w:t>19</w:t>
            </w:r>
          </w:p>
        </w:tc>
      </w:tr>
      <w:tr w:rsidR="001863F1" w:rsidRPr="00CA1472" w14:paraId="5856AC5C" w14:textId="77777777" w:rsidTr="008E7914">
        <w:trPr>
          <w:trHeight w:val="585"/>
        </w:trPr>
        <w:tc>
          <w:tcPr>
            <w:tcW w:w="2689" w:type="dxa"/>
          </w:tcPr>
          <w:p w14:paraId="655B8C1F" w14:textId="0337CE03" w:rsidR="001863F1" w:rsidRPr="00C27307" w:rsidRDefault="001863F1" w:rsidP="001863F1">
            <w:pPr>
              <w:pStyle w:val="SGTableText"/>
            </w:pPr>
            <w:r w:rsidRPr="007A2565">
              <w:t>%</w:t>
            </w:r>
            <w:proofErr w:type="gramStart"/>
            <w:r w:rsidRPr="007A2565">
              <w:t>age</w:t>
            </w:r>
            <w:proofErr w:type="gramEnd"/>
            <w:r w:rsidRPr="007A2565">
              <w:t xml:space="preserve"> of people who feel they can influence decisions affecting their local area</w:t>
            </w:r>
          </w:p>
        </w:tc>
        <w:tc>
          <w:tcPr>
            <w:tcW w:w="1406" w:type="dxa"/>
          </w:tcPr>
          <w:p w14:paraId="041B6BD0" w14:textId="030A9CC1" w:rsidR="001863F1" w:rsidRPr="00C27307" w:rsidRDefault="00C50B56" w:rsidP="001863F1">
            <w:pPr>
              <w:pStyle w:val="SGTableText"/>
            </w:pPr>
            <w:r>
              <w:t>20.1</w:t>
            </w:r>
            <w:r w:rsidR="001863F1" w:rsidRPr="007A2565">
              <w:t>%</w:t>
            </w:r>
          </w:p>
        </w:tc>
        <w:tc>
          <w:tcPr>
            <w:tcW w:w="1436" w:type="dxa"/>
          </w:tcPr>
          <w:p w14:paraId="2B03C947" w14:textId="2D648199" w:rsidR="001863F1" w:rsidRPr="00C27307" w:rsidRDefault="00C50B56" w:rsidP="001863F1">
            <w:pPr>
              <w:pStyle w:val="SGTableText"/>
            </w:pPr>
            <w:r>
              <w:t>17.8</w:t>
            </w:r>
            <w:r w:rsidR="001863F1" w:rsidRPr="007A2565">
              <w:t>%</w:t>
            </w:r>
          </w:p>
        </w:tc>
        <w:tc>
          <w:tcPr>
            <w:tcW w:w="1645" w:type="dxa"/>
          </w:tcPr>
          <w:p w14:paraId="4B4D83E8" w14:textId="51F017F4" w:rsidR="001863F1" w:rsidRPr="001863F1" w:rsidRDefault="000F728E" w:rsidP="001863F1">
            <w:pPr>
              <w:pStyle w:val="SGTableText"/>
              <w:rPr>
                <w:rFonts w:ascii="Webdings" w:hAnsi="Webdings"/>
                <w:color w:val="C0504D" w:themeColor="accent2"/>
                <w:sz w:val="40"/>
                <w:szCs w:val="40"/>
              </w:rPr>
            </w:pPr>
            <w:r>
              <w:t>Worsening</w:t>
            </w:r>
          </w:p>
        </w:tc>
        <w:tc>
          <w:tcPr>
            <w:tcW w:w="1274" w:type="dxa"/>
          </w:tcPr>
          <w:p w14:paraId="77CA3052" w14:textId="20A90B2D" w:rsidR="001863F1" w:rsidRPr="00C27307" w:rsidRDefault="001863F1" w:rsidP="001863F1">
            <w:pPr>
              <w:pStyle w:val="SGTableText"/>
            </w:pPr>
            <w:r w:rsidRPr="007A2565">
              <w:t>2018</w:t>
            </w:r>
          </w:p>
        </w:tc>
        <w:tc>
          <w:tcPr>
            <w:tcW w:w="1172" w:type="dxa"/>
          </w:tcPr>
          <w:p w14:paraId="22ACC036" w14:textId="101E6F8E" w:rsidR="001863F1" w:rsidRPr="00C27307" w:rsidRDefault="001863F1" w:rsidP="001863F1">
            <w:pPr>
              <w:pStyle w:val="SGTableText"/>
            </w:pPr>
            <w:r w:rsidRPr="007A2565">
              <w:t>2019</w:t>
            </w:r>
          </w:p>
        </w:tc>
      </w:tr>
      <w:tr w:rsidR="001863F1" w:rsidRPr="00CA1472" w14:paraId="263BBB2E" w14:textId="77777777" w:rsidTr="008E7914">
        <w:trPr>
          <w:trHeight w:val="696"/>
        </w:trPr>
        <w:tc>
          <w:tcPr>
            <w:tcW w:w="2689" w:type="dxa"/>
            <w:hideMark/>
          </w:tcPr>
          <w:p w14:paraId="16DA6BD9" w14:textId="70C6E166" w:rsidR="001863F1" w:rsidRPr="00CA1472" w:rsidRDefault="001863F1" w:rsidP="001863F1">
            <w:pPr>
              <w:pStyle w:val="SGTableText"/>
            </w:pPr>
            <w:r w:rsidRPr="007A2565">
              <w:t xml:space="preserve">% </w:t>
            </w:r>
            <w:proofErr w:type="gramStart"/>
            <w:r w:rsidRPr="007A2565">
              <w:t>of</w:t>
            </w:r>
            <w:proofErr w:type="gramEnd"/>
            <w:r w:rsidRPr="007A2565">
              <w:t xml:space="preserve"> people who feel safe walking alone in their neighbourhood at night</w:t>
            </w:r>
          </w:p>
        </w:tc>
        <w:tc>
          <w:tcPr>
            <w:tcW w:w="1406" w:type="dxa"/>
            <w:hideMark/>
          </w:tcPr>
          <w:p w14:paraId="546825B1" w14:textId="75DC187B" w:rsidR="001863F1" w:rsidRPr="00CA1472" w:rsidRDefault="00755AFE" w:rsidP="001863F1">
            <w:pPr>
              <w:pStyle w:val="SGTableText"/>
            </w:pPr>
            <w:r>
              <w:t xml:space="preserve"> 82.1%</w:t>
            </w:r>
          </w:p>
        </w:tc>
        <w:tc>
          <w:tcPr>
            <w:tcW w:w="1436" w:type="dxa"/>
            <w:hideMark/>
          </w:tcPr>
          <w:p w14:paraId="3A7AEA8B" w14:textId="51BCED32" w:rsidR="001863F1" w:rsidRPr="00CA1472" w:rsidRDefault="00755AFE" w:rsidP="001863F1">
            <w:pPr>
              <w:pStyle w:val="SGTableText"/>
            </w:pPr>
            <w:r>
              <w:t xml:space="preserve"> 82.9%</w:t>
            </w:r>
          </w:p>
        </w:tc>
        <w:tc>
          <w:tcPr>
            <w:tcW w:w="1645" w:type="dxa"/>
            <w:hideMark/>
          </w:tcPr>
          <w:p w14:paraId="188497E9" w14:textId="02D3C0B0" w:rsidR="001863F1" w:rsidRPr="001863F1" w:rsidRDefault="000F728E" w:rsidP="001863F1">
            <w:pPr>
              <w:pStyle w:val="SGTableText"/>
              <w:rPr>
                <w:rFonts w:ascii="Webdings" w:hAnsi="Webdings"/>
                <w:b/>
                <w:bCs/>
                <w:sz w:val="40"/>
                <w:szCs w:val="40"/>
              </w:rPr>
            </w:pPr>
            <w:r>
              <w:t>Maintaining</w:t>
            </w:r>
          </w:p>
        </w:tc>
        <w:tc>
          <w:tcPr>
            <w:tcW w:w="1274" w:type="dxa"/>
            <w:hideMark/>
          </w:tcPr>
          <w:p w14:paraId="31C48F13" w14:textId="112BB195" w:rsidR="001863F1" w:rsidRPr="00CA1472" w:rsidRDefault="001863F1" w:rsidP="001863F1">
            <w:pPr>
              <w:pStyle w:val="SGTableText"/>
            </w:pPr>
            <w:r w:rsidRPr="007A2565">
              <w:t>2017</w:t>
            </w:r>
          </w:p>
        </w:tc>
        <w:tc>
          <w:tcPr>
            <w:tcW w:w="1172" w:type="dxa"/>
            <w:hideMark/>
          </w:tcPr>
          <w:p w14:paraId="5CB1A60A" w14:textId="77C57A40" w:rsidR="001863F1" w:rsidRPr="00CA1472" w:rsidRDefault="001863F1" w:rsidP="001863F1">
            <w:pPr>
              <w:pStyle w:val="SGTableText"/>
            </w:pPr>
            <w:r w:rsidRPr="007A2565">
              <w:t>2019</w:t>
            </w:r>
          </w:p>
        </w:tc>
      </w:tr>
    </w:tbl>
    <w:p w14:paraId="55E00DE6" w14:textId="77777777" w:rsidR="006B39B8" w:rsidRPr="006B39B8" w:rsidRDefault="006B39B8" w:rsidP="006B39B8"/>
    <w:p w14:paraId="4DE8802B" w14:textId="65EBBF65" w:rsidR="00243D53" w:rsidRDefault="000B3D81" w:rsidP="000B3D81">
      <w:pPr>
        <w:pStyle w:val="Heading2"/>
      </w:pPr>
      <w:r w:rsidRPr="000B3D81">
        <w:t>Economically Sustainable Communities</w:t>
      </w:r>
    </w:p>
    <w:p w14:paraId="0297416D" w14:textId="7D1DB20F" w:rsidR="00540CC0" w:rsidRDefault="00D42142" w:rsidP="008E7914">
      <w:pPr>
        <w:tabs>
          <w:tab w:val="clear" w:pos="720"/>
          <w:tab w:val="clear" w:pos="1440"/>
          <w:tab w:val="clear" w:pos="2160"/>
          <w:tab w:val="clear" w:pos="2880"/>
          <w:tab w:val="clear" w:pos="4680"/>
          <w:tab w:val="clear" w:pos="5400"/>
          <w:tab w:val="clear" w:pos="9000"/>
        </w:tabs>
        <w:spacing w:line="240" w:lineRule="auto"/>
      </w:pPr>
      <w:r>
        <w:t xml:space="preserve">[Chart </w:t>
      </w:r>
      <w:r w:rsidR="00407994">
        <w:t xml:space="preserve">28 </w:t>
      </w:r>
      <w:r w:rsidR="00EF50D0">
        <w:t>– Percentage of Workless Households</w:t>
      </w:r>
      <w:r w:rsidR="002918EA">
        <w:t xml:space="preserve"> (Source: Office for National Statistics - </w:t>
      </w:r>
      <w:r w:rsidR="002918EA" w:rsidRPr="002918EA">
        <w:t>Annual Population Survey</w:t>
      </w:r>
      <w:r w:rsidR="002918EA">
        <w:t>)</w:t>
      </w:r>
      <w:r>
        <w:t>]</w:t>
      </w:r>
    </w:p>
    <w:p w14:paraId="648A1025" w14:textId="7E7E68D6" w:rsidR="003C3907" w:rsidRDefault="003C3907" w:rsidP="0066111E">
      <w:pPr>
        <w:pStyle w:val="Paragraph"/>
      </w:pPr>
      <w:r>
        <w:rPr>
          <w:lang w:eastAsia="en-GB"/>
        </w:rPr>
        <w:drawing>
          <wp:inline distT="0" distB="0" distL="0" distR="0" wp14:anchorId="5288D273" wp14:editId="54AE1567">
            <wp:extent cx="5983966" cy="3129280"/>
            <wp:effectExtent l="0" t="0" r="0" b="0"/>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5983966" cy="3129280"/>
                    </a:xfrm>
                    <a:prstGeom prst="rect">
                      <a:avLst/>
                    </a:prstGeom>
                  </pic:spPr>
                </pic:pic>
              </a:graphicData>
            </a:graphic>
          </wp:inline>
        </w:drawing>
      </w:r>
    </w:p>
    <w:p w14:paraId="719A273C" w14:textId="7B217263" w:rsidR="00D42142" w:rsidRDefault="00D42142" w:rsidP="0066111E">
      <w:pPr>
        <w:pStyle w:val="Paragraph"/>
      </w:pPr>
      <w:r>
        <w:t xml:space="preserve">[Chart </w:t>
      </w:r>
      <w:r w:rsidR="00407994">
        <w:t xml:space="preserve">29 </w:t>
      </w:r>
      <w:r w:rsidR="00EF50D0">
        <w:t>– Employment Rate (including gap between the most deprived and rest of Scotland)</w:t>
      </w:r>
      <w:r w:rsidR="002918EA">
        <w:t xml:space="preserve"> (Source: Office for National Statistics - </w:t>
      </w:r>
      <w:r w:rsidR="002918EA" w:rsidRPr="002918EA">
        <w:t>Annual Population Survey</w:t>
      </w:r>
      <w:r w:rsidR="002918EA">
        <w:t>)</w:t>
      </w:r>
      <w:r>
        <w:t>]</w:t>
      </w:r>
    </w:p>
    <w:p w14:paraId="194906B8" w14:textId="4CF5C9AF" w:rsidR="003C3907" w:rsidRDefault="00F341CE" w:rsidP="0066111E">
      <w:pPr>
        <w:pStyle w:val="Paragraph"/>
      </w:pPr>
      <w:r>
        <w:rPr>
          <w:lang w:eastAsia="en-GB"/>
        </w:rPr>
        <w:drawing>
          <wp:inline distT="0" distB="0" distL="0" distR="0" wp14:anchorId="0C4726A7" wp14:editId="5379E21F">
            <wp:extent cx="6004811" cy="3299029"/>
            <wp:effectExtent l="0" t="0" r="0" b="0"/>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6004811" cy="3299029"/>
                    </a:xfrm>
                    <a:prstGeom prst="rect">
                      <a:avLst/>
                    </a:prstGeom>
                  </pic:spPr>
                </pic:pic>
              </a:graphicData>
            </a:graphic>
          </wp:inline>
        </w:drawing>
      </w:r>
    </w:p>
    <w:p w14:paraId="2D07B666" w14:textId="7BA14E9B" w:rsidR="00F31007" w:rsidRDefault="00F31007" w:rsidP="0066111E">
      <w:pPr>
        <w:pStyle w:val="Paragraph"/>
      </w:pPr>
      <w:r>
        <w:t xml:space="preserve">2014 saw the biggest annual drop in workless households over the past </w:t>
      </w:r>
      <w:r w:rsidR="00EF50D0">
        <w:t xml:space="preserve">14 </w:t>
      </w:r>
      <w:r>
        <w:t xml:space="preserve">years, from 20.1% in 2013 to 18.3% in 2014. After that, the rate remained fairly stable over the next </w:t>
      </w:r>
      <w:r w:rsidR="00FE1496">
        <w:t>3</w:t>
      </w:r>
      <w:r>
        <w:t xml:space="preserve"> years, fluctuating between 18.0% and 18.</w:t>
      </w:r>
      <w:r w:rsidR="00FE1496">
        <w:t>4</w:t>
      </w:r>
      <w:r>
        <w:t>%. In 2018, the rate dropped to its lowest since 2007 at 17.1%</w:t>
      </w:r>
      <w:r w:rsidR="004D7E11">
        <w:t>. This then rose to 18.1% in 2020</w:t>
      </w:r>
      <w:r w:rsidR="007E102E">
        <w:t xml:space="preserve"> and 18.6% in 2021</w:t>
      </w:r>
      <w:r w:rsidR="004D7E11">
        <w:t>.</w:t>
      </w:r>
    </w:p>
    <w:p w14:paraId="7874DC23" w14:textId="4FFEDFF2" w:rsidR="00F31007" w:rsidRDefault="00F31007" w:rsidP="0066111E">
      <w:pPr>
        <w:pStyle w:val="Paragraph"/>
      </w:pPr>
      <w:r>
        <w:lastRenderedPageBreak/>
        <w:t xml:space="preserve">The employment rate for the 15% most deprived areas rose by </w:t>
      </w:r>
      <w:r w:rsidR="004D7E11">
        <w:t>7.4 percentage points</w:t>
      </w:r>
      <w:r>
        <w:t xml:space="preserve"> from 54.0% in 2013 to </w:t>
      </w:r>
      <w:r w:rsidR="004D7E11">
        <w:t>61</w:t>
      </w:r>
      <w:r>
        <w:t>.</w:t>
      </w:r>
      <w:r w:rsidR="004D7E11">
        <w:t>4</w:t>
      </w:r>
      <w:r>
        <w:t xml:space="preserve">% in </w:t>
      </w:r>
      <w:r w:rsidR="004D7E11">
        <w:t>2021</w:t>
      </w:r>
      <w:r>
        <w:t>.</w:t>
      </w:r>
    </w:p>
    <w:p w14:paraId="20C1B2B2" w14:textId="03E18F6C" w:rsidR="00F31007" w:rsidRDefault="00F31007" w:rsidP="0066111E">
      <w:pPr>
        <w:pStyle w:val="Paragraph"/>
      </w:pPr>
      <w:r>
        <w:t xml:space="preserve">Over the same period, the employment rate for the Rest of Scotland increased from 73.8% to </w:t>
      </w:r>
      <w:r w:rsidR="004D7E11">
        <w:t>75.3</w:t>
      </w:r>
      <w:r>
        <w:t xml:space="preserve">% in </w:t>
      </w:r>
      <w:r w:rsidR="004D7E11">
        <w:t>2021</w:t>
      </w:r>
      <w:r>
        <w:t xml:space="preserve">, a smaller increase of </w:t>
      </w:r>
      <w:r w:rsidR="00FE1496">
        <w:t xml:space="preserve">1.5 </w:t>
      </w:r>
      <w:r w:rsidR="004D7E11">
        <w:t>percentage points</w:t>
      </w:r>
    </w:p>
    <w:p w14:paraId="41F10BB7" w14:textId="081FCBEE" w:rsidR="00F31007" w:rsidRDefault="00F31007" w:rsidP="0066111E">
      <w:pPr>
        <w:pStyle w:val="Paragraph"/>
      </w:pPr>
      <w:r>
        <w:t>This has resulted in a fall in the employment gap between the 15% most deprived areas and the Rest of Scotland from 19.8</w:t>
      </w:r>
      <w:r w:rsidR="00502C2E">
        <w:t xml:space="preserve"> percentage points </w:t>
      </w:r>
      <w:r>
        <w:t xml:space="preserve">in 2013 </w:t>
      </w:r>
      <w:r w:rsidR="00EB4E24">
        <w:t xml:space="preserve"> to 13</w:t>
      </w:r>
      <w:r w:rsidR="00502C2E">
        <w:t>.8 percentage points</w:t>
      </w:r>
      <w:r w:rsidR="00EB4E24">
        <w:t xml:space="preserve"> in 2021, a fall of 6.0</w:t>
      </w:r>
      <w:r w:rsidR="00502C2E">
        <w:t xml:space="preserve"> percentage points</w:t>
      </w:r>
      <w:r w:rsidR="00EB4E24">
        <w:t xml:space="preserve">. This includes a fall of 1.3 percentage points in the last year, resulting in an improving performance for this indicator. </w:t>
      </w:r>
    </w:p>
    <w:p w14:paraId="31C56FD4" w14:textId="481BE042" w:rsidR="00407994" w:rsidRDefault="00407994" w:rsidP="0066111E">
      <w:pPr>
        <w:pStyle w:val="Paragraph"/>
      </w:pPr>
    </w:p>
    <w:p w14:paraId="1962915E" w14:textId="5CE56332" w:rsidR="00407994" w:rsidRDefault="00407994" w:rsidP="0066111E">
      <w:pPr>
        <w:pStyle w:val="Paragraph"/>
      </w:pPr>
      <w:bookmarkStart w:id="4" w:name="_Hlk118279423"/>
      <w:r>
        <w:t>[Chart 30 – Percentage of People with HNC/HND or Above</w:t>
      </w:r>
      <w:r w:rsidR="002918EA">
        <w:t xml:space="preserve"> (Source: Office for National Statistics - </w:t>
      </w:r>
      <w:r w:rsidR="002918EA" w:rsidRPr="002918EA">
        <w:t>Annual Population Survey</w:t>
      </w:r>
      <w:r w:rsidR="002918EA">
        <w:t>)]</w:t>
      </w:r>
      <w:r>
        <w:t>]</w:t>
      </w:r>
    </w:p>
    <w:p w14:paraId="756F8528" w14:textId="77777777" w:rsidR="00407994" w:rsidRDefault="00407994" w:rsidP="0066111E">
      <w:pPr>
        <w:pStyle w:val="Paragraph"/>
      </w:pPr>
      <w:r>
        <w:rPr>
          <w:lang w:eastAsia="en-GB"/>
        </w:rPr>
        <w:drawing>
          <wp:inline distT="0" distB="0" distL="0" distR="0" wp14:anchorId="02F1BCE9" wp14:editId="06D6F7B2">
            <wp:extent cx="5996681" cy="3002915"/>
            <wp:effectExtent l="0" t="0" r="4445" b="6985"/>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996681" cy="3002915"/>
                    </a:xfrm>
                    <a:prstGeom prst="rect">
                      <a:avLst/>
                    </a:prstGeom>
                  </pic:spPr>
                </pic:pic>
              </a:graphicData>
            </a:graphic>
          </wp:inline>
        </w:drawing>
      </w:r>
    </w:p>
    <w:p w14:paraId="525450B5" w14:textId="77777777" w:rsidR="00407994" w:rsidRDefault="00407994" w:rsidP="0066111E">
      <w:pPr>
        <w:pStyle w:val="Paragraph"/>
      </w:pPr>
      <w:r>
        <w:t>The percentage of people with post school qualifications in the 15% most deprived areas increased from 16.0% in 2007 to 26.2% in 2015, after which it fell slightly to 24.6% in 2017 before increasing again year on year to 37.4% in the latest year 2021. For the rest of Scotland there has been a gradual increase across the whole period from 36.2% in 2007 to 53.8% in 2021.</w:t>
      </w:r>
    </w:p>
    <w:p w14:paraId="07A90F4B" w14:textId="77777777" w:rsidR="00407994" w:rsidRDefault="00407994" w:rsidP="0066111E">
      <w:pPr>
        <w:pStyle w:val="Paragraph"/>
      </w:pPr>
      <w:r>
        <w:t>Between 2007 and 2021 the percentage in deprived areas has increased by 21.4 percentage points, which is a higher rate of increase to the rest of Scotland at 17.6 percentage points.</w:t>
      </w:r>
    </w:p>
    <w:p w14:paraId="7BBC540F" w14:textId="2AC1089F" w:rsidR="00407994" w:rsidRDefault="00407994" w:rsidP="0066111E">
      <w:pPr>
        <w:pStyle w:val="Paragraph"/>
      </w:pPr>
      <w:r>
        <w:t>The gap between the 15% most deprived and the rest of Scotland reached its lowest point since 2007, at 16.4 percentage points in the latest year 2021.</w:t>
      </w:r>
      <w:r w:rsidR="00EB4E24">
        <w:t xml:space="preserve"> Over the last year</w:t>
      </w:r>
      <w:r w:rsidR="00A13E4F">
        <w:t>,</w:t>
      </w:r>
      <w:r w:rsidR="00EB4E24">
        <w:t xml:space="preserve"> the gap decreased by 6.5</w:t>
      </w:r>
      <w:r w:rsidR="00A13E4F">
        <w:t xml:space="preserve"> percentage </w:t>
      </w:r>
      <w:r w:rsidR="00EB4E24">
        <w:t>points, mainly due to the increase</w:t>
      </w:r>
      <w:r w:rsidR="00A13E4F">
        <w:t xml:space="preserve"> in the percentage of people with post school qualifications from 30.3% in 2020 to 37.4% in 2021, resulting in an improving performance for this indicator.</w:t>
      </w:r>
      <w:r w:rsidR="00EB4E24">
        <w:t xml:space="preserve"> </w:t>
      </w:r>
    </w:p>
    <w:bookmarkEnd w:id="4"/>
    <w:p w14:paraId="70773112" w14:textId="77777777" w:rsidR="00407994" w:rsidRDefault="00407994" w:rsidP="0066111E">
      <w:pPr>
        <w:pStyle w:val="Paragraph"/>
      </w:pPr>
    </w:p>
    <w:p w14:paraId="3646AF90" w14:textId="56F78D26" w:rsidR="00F31007" w:rsidRDefault="00F31007" w:rsidP="0066111E">
      <w:pPr>
        <w:pStyle w:val="Paragraph"/>
      </w:pPr>
      <w:r>
        <w:lastRenderedPageBreak/>
        <w:t xml:space="preserve">[Chart </w:t>
      </w:r>
      <w:r w:rsidR="00407994">
        <w:t xml:space="preserve">31 </w:t>
      </w:r>
      <w:r w:rsidR="00EF50D0">
        <w:t>– Healthy Life Expectancy – Male</w:t>
      </w:r>
      <w:r w:rsidR="002918EA">
        <w:t xml:space="preserve">s (Source: National Records of Scotland - </w:t>
      </w:r>
      <w:r w:rsidR="002918EA" w:rsidRPr="002918EA">
        <w:t>Healthy Life Expectancy in Scotland</w:t>
      </w:r>
      <w:r w:rsidR="002918EA">
        <w:t>)</w:t>
      </w:r>
      <w:r>
        <w:t>]</w:t>
      </w:r>
    </w:p>
    <w:p w14:paraId="7A3DABCF" w14:textId="1A9648C1" w:rsidR="00CA3C30" w:rsidRDefault="00CA3C30" w:rsidP="0066111E">
      <w:pPr>
        <w:pStyle w:val="Paragraph"/>
      </w:pPr>
      <w:r>
        <w:rPr>
          <w:lang w:eastAsia="en-GB"/>
        </w:rPr>
        <w:drawing>
          <wp:inline distT="0" distB="0" distL="0" distR="0" wp14:anchorId="1271C21F" wp14:editId="311B0C0D">
            <wp:extent cx="5934929" cy="2781935"/>
            <wp:effectExtent l="0" t="0" r="8890" b="0"/>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5934929" cy="2781935"/>
                    </a:xfrm>
                    <a:prstGeom prst="rect">
                      <a:avLst/>
                    </a:prstGeom>
                  </pic:spPr>
                </pic:pic>
              </a:graphicData>
            </a:graphic>
          </wp:inline>
        </w:drawing>
      </w:r>
    </w:p>
    <w:p w14:paraId="2C5243B6" w14:textId="1A9CC2E5" w:rsidR="00F31007" w:rsidRDefault="00F31007" w:rsidP="0066111E">
      <w:pPr>
        <w:pStyle w:val="Paragraph"/>
      </w:pPr>
      <w:r>
        <w:t xml:space="preserve">[Chart </w:t>
      </w:r>
      <w:r w:rsidR="00407994">
        <w:t xml:space="preserve">32 </w:t>
      </w:r>
      <w:r w:rsidR="00EF50D0">
        <w:t xml:space="preserve">– Healthy Life Expectancy </w:t>
      </w:r>
      <w:r w:rsidR="002918EA">
        <w:t>–</w:t>
      </w:r>
      <w:r w:rsidR="00EF50D0">
        <w:t xml:space="preserve"> Females</w:t>
      </w:r>
      <w:r w:rsidR="002918EA">
        <w:t xml:space="preserve"> (Source: National Records of Scotland - </w:t>
      </w:r>
      <w:r w:rsidR="002918EA" w:rsidRPr="002918EA">
        <w:t>Healthy Life Expectancy in Scotland</w:t>
      </w:r>
      <w:r w:rsidR="002918EA">
        <w:t>)</w:t>
      </w:r>
      <w:r>
        <w:t>]</w:t>
      </w:r>
    </w:p>
    <w:p w14:paraId="59BD8BA0" w14:textId="0CE7B648" w:rsidR="00CA3C30" w:rsidRDefault="00CA3C30" w:rsidP="0066111E">
      <w:pPr>
        <w:pStyle w:val="Paragraph"/>
      </w:pPr>
      <w:r>
        <w:rPr>
          <w:lang w:eastAsia="en-GB"/>
        </w:rPr>
        <w:drawing>
          <wp:inline distT="0" distB="0" distL="0" distR="0" wp14:anchorId="3048950A" wp14:editId="7C1FDC7B">
            <wp:extent cx="5916769" cy="2798445"/>
            <wp:effectExtent l="0" t="0" r="8255" b="1905"/>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5916769" cy="2798445"/>
                    </a:xfrm>
                    <a:prstGeom prst="rect">
                      <a:avLst/>
                    </a:prstGeom>
                  </pic:spPr>
                </pic:pic>
              </a:graphicData>
            </a:graphic>
          </wp:inline>
        </w:drawing>
      </w:r>
    </w:p>
    <w:p w14:paraId="60777E91" w14:textId="5354A338" w:rsidR="00817EEB" w:rsidRDefault="00817EEB" w:rsidP="0066111E">
      <w:pPr>
        <w:pStyle w:val="Paragraph"/>
      </w:pPr>
      <w:r>
        <w:t xml:space="preserve">These charts show the Healthy Life Expectancy (HLE) of males and females over the past </w:t>
      </w:r>
      <w:r w:rsidR="00407994">
        <w:t>1</w:t>
      </w:r>
      <w:r w:rsidR="004D7E11">
        <w:t xml:space="preserve">0 </w:t>
      </w:r>
      <w:r>
        <w:t>years, for Scotland overall and for the 20% most deprived areas, along with the inequality gap.</w:t>
      </w:r>
    </w:p>
    <w:p w14:paraId="191685A0" w14:textId="7DF6842A" w:rsidR="008E69AC" w:rsidRDefault="004D7E11" w:rsidP="0066111E">
      <w:pPr>
        <w:pStyle w:val="Paragraph"/>
      </w:pPr>
      <w:r>
        <w:t xml:space="preserve">Using the latest methodology, </w:t>
      </w:r>
      <w:r w:rsidR="00846825" w:rsidRPr="00846825">
        <w:t>the Healthy Life Expectancy of males</w:t>
      </w:r>
      <w:r>
        <w:t xml:space="preserve"> in 2016-18</w:t>
      </w:r>
      <w:r w:rsidR="00846825" w:rsidRPr="00846825">
        <w:t xml:space="preserve"> was 61.9 years in Scotland with the most deprived being 49.7 years, a gap of over 12.2</w:t>
      </w:r>
      <w:r w:rsidR="008E69AC">
        <w:t xml:space="preserve"> years</w:t>
      </w:r>
      <w:r w:rsidR="00846825" w:rsidRPr="00846825">
        <w:t>.</w:t>
      </w:r>
      <w:r>
        <w:t xml:space="preserve"> The gap reduced to 8.6 years in 2017-19, before increasing again to 10.1 in 2018-20, with healthy life expectancy at 60.9 for all males, but only 50.8</w:t>
      </w:r>
      <w:r w:rsidR="00846825" w:rsidRPr="00846825">
        <w:t xml:space="preserve"> </w:t>
      </w:r>
      <w:r>
        <w:t xml:space="preserve">for the 20% most deprived. </w:t>
      </w:r>
      <w:r w:rsidR="008E69AC">
        <w:t>As the increase in the gap in the latest period was below the 2.0 percentage points thresholds, the performance for this indicator is considered to be ‘maintaining’.</w:t>
      </w:r>
    </w:p>
    <w:p w14:paraId="61E53E22" w14:textId="4C468CCB" w:rsidR="00846825" w:rsidRDefault="00846825" w:rsidP="0066111E">
      <w:pPr>
        <w:pStyle w:val="Paragraph"/>
      </w:pPr>
      <w:r w:rsidRPr="00846825">
        <w:t>For females, the Healthy Life Expectancy</w:t>
      </w:r>
      <w:r w:rsidR="004D7E11">
        <w:t xml:space="preserve"> in 2016-18</w:t>
      </w:r>
      <w:r w:rsidRPr="00846825">
        <w:t xml:space="preserve"> was 62.2 years in Scotland compared to 50.8 years in the most deprived areas, a gap of 11.4 years, </w:t>
      </w:r>
      <w:r w:rsidR="004D7E11">
        <w:t xml:space="preserve">falling to 7.4 in </w:t>
      </w:r>
      <w:r w:rsidR="004D7E11">
        <w:lastRenderedPageBreak/>
        <w:t>2017-19 before rising again to 10.1 in 2018-20, with healthy life expectancy at 61.8 for all females, but only 51.7 for the 20% most deprived.</w:t>
      </w:r>
    </w:p>
    <w:p w14:paraId="1B895EA3" w14:textId="74E9FA9E" w:rsidR="005424EB" w:rsidRDefault="005424EB" w:rsidP="0066111E">
      <w:pPr>
        <w:pStyle w:val="Paragraph"/>
      </w:pPr>
      <w:r>
        <w:t>[Chart 3</w:t>
      </w:r>
      <w:r w:rsidR="00D177B7">
        <w:t>3 – Healthy Life Expectancy Gap</w:t>
      </w:r>
      <w:r w:rsidR="002918EA">
        <w:t xml:space="preserve"> (Source: National Records of Scotland - </w:t>
      </w:r>
      <w:r w:rsidR="002918EA" w:rsidRPr="002918EA">
        <w:t>Healthy Life Expectancy in Scotland</w:t>
      </w:r>
      <w:r w:rsidR="002918EA">
        <w:t>)</w:t>
      </w:r>
      <w:r>
        <w:t>]</w:t>
      </w:r>
    </w:p>
    <w:p w14:paraId="21A2C862" w14:textId="547940EF" w:rsidR="00E75666" w:rsidRDefault="00E75666" w:rsidP="0066111E">
      <w:pPr>
        <w:pStyle w:val="Paragraph"/>
      </w:pPr>
      <w:r>
        <w:rPr>
          <w:lang w:eastAsia="en-GB"/>
        </w:rPr>
        <w:drawing>
          <wp:inline distT="0" distB="0" distL="0" distR="0" wp14:anchorId="4ABCFF0B" wp14:editId="6835F361">
            <wp:extent cx="5919594" cy="3339465"/>
            <wp:effectExtent l="0" t="0" r="5080" b="0"/>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5919594" cy="3339465"/>
                    </a:xfrm>
                    <a:prstGeom prst="rect">
                      <a:avLst/>
                    </a:prstGeom>
                  </pic:spPr>
                </pic:pic>
              </a:graphicData>
            </a:graphic>
          </wp:inline>
        </w:drawing>
      </w:r>
    </w:p>
    <w:p w14:paraId="5DE1E40E" w14:textId="5B4B116A" w:rsidR="00EA72D7" w:rsidRDefault="00EA72D7" w:rsidP="00EA72D7">
      <w:pPr>
        <w:pStyle w:val="Heading2"/>
      </w:pPr>
      <w:r w:rsidRPr="00EA72D7">
        <w:t>Physically Sustainable Communities</w:t>
      </w:r>
    </w:p>
    <w:p w14:paraId="683D115D" w14:textId="1B76DDA3" w:rsidR="00D42142" w:rsidRDefault="00845912" w:rsidP="0066111E">
      <w:pPr>
        <w:pStyle w:val="Paragraph"/>
      </w:pPr>
      <w:r>
        <w:t>[Chart 3</w:t>
      </w:r>
      <w:r w:rsidR="00D177B7">
        <w:t>4</w:t>
      </w:r>
      <w:r w:rsidR="00EF50D0">
        <w:t xml:space="preserve"> – Percentage of People Rating their Neighbourhood as a Very Good Place to Live</w:t>
      </w:r>
      <w:r w:rsidR="002918EA">
        <w:t xml:space="preserve"> (Source: Scottish Government - </w:t>
      </w:r>
      <w:r w:rsidR="002918EA" w:rsidRPr="002918EA">
        <w:rPr>
          <w:rFonts w:cs="Arial"/>
          <w:color w:val="000000"/>
          <w:sz w:val="28"/>
          <w:szCs w:val="28"/>
          <w:lang w:eastAsia="en-GB"/>
        </w:rPr>
        <w:t>Scottish House</w:t>
      </w:r>
      <w:r w:rsidR="002918EA">
        <w:rPr>
          <w:rFonts w:cs="Arial"/>
          <w:color w:val="000000"/>
          <w:sz w:val="28"/>
          <w:szCs w:val="28"/>
          <w:lang w:eastAsia="en-GB"/>
        </w:rPr>
        <w:t xml:space="preserve">hold </w:t>
      </w:r>
      <w:r w:rsidR="002918EA" w:rsidRPr="002918EA">
        <w:rPr>
          <w:rFonts w:cs="Arial"/>
          <w:color w:val="000000"/>
          <w:sz w:val="28"/>
          <w:szCs w:val="28"/>
          <w:lang w:eastAsia="en-GB"/>
        </w:rPr>
        <w:t>Survey</w:t>
      </w:r>
      <w:r w:rsidR="002918EA">
        <w:rPr>
          <w:rFonts w:cs="Arial"/>
          <w:color w:val="000000"/>
          <w:sz w:val="28"/>
          <w:szCs w:val="28"/>
          <w:lang w:eastAsia="en-GB"/>
        </w:rPr>
        <w:t>)</w:t>
      </w:r>
      <w:r>
        <w:t>]</w:t>
      </w:r>
    </w:p>
    <w:p w14:paraId="09D9692C" w14:textId="1F1A2C4D" w:rsidR="005E6253" w:rsidRDefault="002B2F16" w:rsidP="0066111E">
      <w:pPr>
        <w:pStyle w:val="Paragraph"/>
      </w:pPr>
      <w:r>
        <w:rPr>
          <w:lang w:eastAsia="en-GB"/>
        </w:rPr>
        <w:drawing>
          <wp:inline distT="0" distB="0" distL="0" distR="0" wp14:anchorId="4A224BF5" wp14:editId="7CE6FFDA">
            <wp:extent cx="5984859" cy="3185795"/>
            <wp:effectExtent l="0" t="0" r="0" b="0"/>
            <wp:docPr id="35"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pic:cNvPicPr/>
                  </pic:nvPicPr>
                  <pic:blipFill>
                    <a:blip r:embed="rId77" cstate="print">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5984859" cy="3185795"/>
                    </a:xfrm>
                    <a:prstGeom prst="rect">
                      <a:avLst/>
                    </a:prstGeom>
                  </pic:spPr>
                </pic:pic>
              </a:graphicData>
            </a:graphic>
          </wp:inline>
        </w:drawing>
      </w:r>
    </w:p>
    <w:p w14:paraId="5C4CB469" w14:textId="7C2C431D" w:rsidR="00845912" w:rsidRDefault="0034686C" w:rsidP="0034686C">
      <w:pPr>
        <w:rPr>
          <w:rFonts w:eastAsia="Times New Roman"/>
          <w:noProof/>
          <w:lang w:val="en-GB"/>
        </w:rPr>
      </w:pPr>
      <w:r w:rsidRPr="0034686C">
        <w:rPr>
          <w:rFonts w:eastAsia="Times New Roman"/>
          <w:noProof/>
          <w:lang w:val="en-GB"/>
        </w:rPr>
        <w:t>The percentage of people rating their neighbourhood as a very good place to live, has increased gradually from 51.7% in 2007 to 57.4% in 2018</w:t>
      </w:r>
      <w:r w:rsidR="004D7E11">
        <w:rPr>
          <w:rFonts w:eastAsia="Times New Roman"/>
          <w:noProof/>
          <w:lang w:val="en-GB"/>
        </w:rPr>
        <w:t xml:space="preserve">, though fell slightly to </w:t>
      </w:r>
      <w:r w:rsidR="004D7E11">
        <w:rPr>
          <w:rFonts w:eastAsia="Times New Roman"/>
          <w:noProof/>
          <w:lang w:val="en-GB"/>
        </w:rPr>
        <w:lastRenderedPageBreak/>
        <w:t>57.0% in 2019</w:t>
      </w:r>
      <w:r w:rsidR="00BC0A00">
        <w:rPr>
          <w:rFonts w:eastAsia="Times New Roman"/>
          <w:noProof/>
          <w:lang w:val="en-GB"/>
        </w:rPr>
        <w:t xml:space="preserve">, resulting in a ‘maintaining’ performance for this indicator in the latest period. </w:t>
      </w:r>
    </w:p>
    <w:p w14:paraId="7403AE3C" w14:textId="5B0EA26E" w:rsidR="00EF50D0" w:rsidRDefault="00EF50D0" w:rsidP="0034686C">
      <w:pPr>
        <w:rPr>
          <w:rFonts w:eastAsia="Times New Roman"/>
          <w:noProof/>
          <w:lang w:val="en-GB"/>
        </w:rPr>
      </w:pPr>
    </w:p>
    <w:p w14:paraId="02A5DB4A" w14:textId="2656B18F" w:rsidR="00EF50D0" w:rsidRDefault="00EF50D0" w:rsidP="0066111E">
      <w:pPr>
        <w:pStyle w:val="Paragraph"/>
      </w:pPr>
      <w:r w:rsidRPr="00F601AE">
        <w:t>Note that due to the impacts from the Covid pandemic</w:t>
      </w:r>
      <w:r>
        <w:t xml:space="preserve"> period, </w:t>
      </w:r>
      <w:r w:rsidRPr="00F601AE">
        <w:t>the results of the SHS 2020 telephone survey are not directly comparable to SHS results for previous years</w:t>
      </w:r>
      <w:r>
        <w:t>, and are not considered suitable for the purposes of indicator reporting.</w:t>
      </w:r>
    </w:p>
    <w:p w14:paraId="5B7A3DCF" w14:textId="77777777" w:rsidR="00EF50D0" w:rsidRDefault="00EF50D0" w:rsidP="0034686C">
      <w:pPr>
        <w:rPr>
          <w:rFonts w:eastAsia="Times New Roman"/>
          <w:noProof/>
          <w:lang w:val="en-GB"/>
        </w:rPr>
      </w:pPr>
    </w:p>
    <w:p w14:paraId="15C7A8A9" w14:textId="77777777" w:rsidR="00EF50D0" w:rsidRDefault="00EF50D0" w:rsidP="0034686C"/>
    <w:p w14:paraId="3DD34051" w14:textId="77777777" w:rsidR="00175DE7" w:rsidRDefault="00175DE7">
      <w:pPr>
        <w:tabs>
          <w:tab w:val="clear" w:pos="720"/>
          <w:tab w:val="clear" w:pos="1440"/>
          <w:tab w:val="clear" w:pos="2160"/>
          <w:tab w:val="clear" w:pos="2880"/>
          <w:tab w:val="clear" w:pos="4680"/>
          <w:tab w:val="clear" w:pos="5400"/>
          <w:tab w:val="clear" w:pos="9000"/>
        </w:tabs>
        <w:spacing w:line="240" w:lineRule="auto"/>
        <w:rPr>
          <w:rFonts w:eastAsia="Times New Roman"/>
          <w:noProof/>
          <w:lang w:val="en-GB"/>
        </w:rPr>
      </w:pPr>
      <w:r>
        <w:br w:type="page"/>
      </w:r>
    </w:p>
    <w:p w14:paraId="18F25D29" w14:textId="609CA092" w:rsidR="00845912" w:rsidRDefault="00845912" w:rsidP="0066111E">
      <w:pPr>
        <w:pStyle w:val="Paragraph"/>
      </w:pPr>
      <w:r>
        <w:lastRenderedPageBreak/>
        <w:t>[Chart 3</w:t>
      </w:r>
      <w:r w:rsidR="00D177B7">
        <w:t>5</w:t>
      </w:r>
      <w:r w:rsidR="00EF50D0">
        <w:t xml:space="preserve"> – Amount of Derelict and (Urban) Vacant Land</w:t>
      </w:r>
      <w:r w:rsidR="002918EA">
        <w:t xml:space="preserve"> (Source: Scottish Government - </w:t>
      </w:r>
      <w:r w:rsidR="002918EA" w:rsidRPr="002918EA">
        <w:t>Scottish Vacant and Derelict Land Survey</w:t>
      </w:r>
      <w:r w:rsidR="002918EA">
        <w:t>)</w:t>
      </w:r>
      <w:r>
        <w:t>]</w:t>
      </w:r>
    </w:p>
    <w:p w14:paraId="3B102683" w14:textId="1C410B68" w:rsidR="002B2F16" w:rsidRDefault="00175DE7" w:rsidP="0066111E">
      <w:pPr>
        <w:pStyle w:val="Paragraph"/>
      </w:pPr>
      <w:r>
        <w:rPr>
          <w:lang w:eastAsia="en-GB"/>
        </w:rPr>
        <w:drawing>
          <wp:inline distT="0" distB="0" distL="0" distR="0" wp14:anchorId="065F51B4" wp14:editId="67220FA8">
            <wp:extent cx="6001120" cy="3665855"/>
            <wp:effectExtent l="0" t="0" r="0" b="0"/>
            <wp:docPr id="36" name="Graph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6001120" cy="3665855"/>
                    </a:xfrm>
                    <a:prstGeom prst="rect">
                      <a:avLst/>
                    </a:prstGeom>
                  </pic:spPr>
                </pic:pic>
              </a:graphicData>
            </a:graphic>
          </wp:inline>
        </w:drawing>
      </w:r>
    </w:p>
    <w:p w14:paraId="7C1C76CD" w14:textId="6497DD48" w:rsidR="00F44DE8" w:rsidRDefault="00F44DE8" w:rsidP="0066111E">
      <w:pPr>
        <w:pStyle w:val="Paragraph"/>
      </w:pPr>
      <w:r>
        <w:t xml:space="preserve">In 2014, there was a large increase in derelict mineral sites of </w:t>
      </w:r>
      <w:r w:rsidR="00BC0A00">
        <w:t xml:space="preserve">2,175 to </w:t>
      </w:r>
      <w:r>
        <w:t>4,110 hectares (ha), mostly due to former surface coal mining sites that became derelict in East Ayrshire.</w:t>
      </w:r>
    </w:p>
    <w:p w14:paraId="736563E8" w14:textId="06FDDD1E" w:rsidR="00F44DE8" w:rsidRDefault="00F44DE8" w:rsidP="0066111E">
      <w:pPr>
        <w:pStyle w:val="Paragraph"/>
      </w:pPr>
      <w:r>
        <w:t xml:space="preserve">Since 2014, there has been a decrease of </w:t>
      </w:r>
      <w:r w:rsidR="004D7E11">
        <w:t xml:space="preserve">2,016 </w:t>
      </w:r>
      <w:r>
        <w:t>(ha) (</w:t>
      </w:r>
      <w:r w:rsidR="00BC0A00">
        <w:t>49%</w:t>
      </w:r>
      <w:r>
        <w:t xml:space="preserve">) in derelict mineral sites; a decrease of </w:t>
      </w:r>
      <w:r w:rsidR="004D7E11">
        <w:t xml:space="preserve">1,300 </w:t>
      </w:r>
      <w:r>
        <w:t>(ha) (</w:t>
      </w:r>
      <w:r w:rsidR="004D7E11">
        <w:t>19</w:t>
      </w:r>
      <w:r>
        <w:t xml:space="preserve">%) in other derelict land (mostly between 2016 and 2017) and a decrease in urban vacant land of </w:t>
      </w:r>
      <w:r w:rsidR="004D7E11">
        <w:t xml:space="preserve">262 </w:t>
      </w:r>
      <w:r>
        <w:t>(ha) (</w:t>
      </w:r>
      <w:r w:rsidR="004D7E11">
        <w:t>11</w:t>
      </w:r>
      <w:r>
        <w:t xml:space="preserve">%). </w:t>
      </w:r>
    </w:p>
    <w:p w14:paraId="13B6B4E5" w14:textId="6A1F3056" w:rsidR="00F44DE8" w:rsidRDefault="00F44DE8" w:rsidP="0066111E">
      <w:pPr>
        <w:pStyle w:val="Paragraph"/>
      </w:pPr>
      <w:r>
        <w:t>The total amount of derelict and urban vacant land decreased by 1</w:t>
      </w:r>
      <w:r w:rsidR="004D7E11">
        <w:t>,176</w:t>
      </w:r>
      <w:r>
        <w:t xml:space="preserve"> (ha) (1</w:t>
      </w:r>
      <w:r w:rsidR="004D7E11">
        <w:t>1</w:t>
      </w:r>
      <w:r>
        <w:t xml:space="preserve">%) </w:t>
      </w:r>
      <w:r w:rsidR="004D7E11">
        <w:t>between 2019 and 2021, to 9,750 (ha)</w:t>
      </w:r>
      <w:r>
        <w:t>.</w:t>
      </w:r>
      <w:r w:rsidR="004D7E11">
        <w:t xml:space="preserve"> As data is missing for 2020, performance </w:t>
      </w:r>
      <w:r w:rsidR="00EF50D0">
        <w:t>has been</w:t>
      </w:r>
      <w:r w:rsidR="004D7E11">
        <w:t xml:space="preserve"> evaluated using twice the normal threshold (400 hectares rather than 200 hectares). This means the indicator is “improving”.</w:t>
      </w:r>
    </w:p>
    <w:p w14:paraId="1316EF83" w14:textId="77777777" w:rsidR="00192A02" w:rsidRDefault="00192A02">
      <w:pPr>
        <w:tabs>
          <w:tab w:val="clear" w:pos="720"/>
          <w:tab w:val="clear" w:pos="1440"/>
          <w:tab w:val="clear" w:pos="2160"/>
          <w:tab w:val="clear" w:pos="2880"/>
          <w:tab w:val="clear" w:pos="4680"/>
          <w:tab w:val="clear" w:pos="5400"/>
          <w:tab w:val="clear" w:pos="9000"/>
        </w:tabs>
        <w:spacing w:line="240" w:lineRule="auto"/>
      </w:pPr>
    </w:p>
    <w:p w14:paraId="6BC49521" w14:textId="4956696A" w:rsidR="00175DE7" w:rsidRDefault="002918EA">
      <w:pPr>
        <w:tabs>
          <w:tab w:val="clear" w:pos="720"/>
          <w:tab w:val="clear" w:pos="1440"/>
          <w:tab w:val="clear" w:pos="2160"/>
          <w:tab w:val="clear" w:pos="2880"/>
          <w:tab w:val="clear" w:pos="4680"/>
          <w:tab w:val="clear" w:pos="5400"/>
          <w:tab w:val="clear" w:pos="9000"/>
        </w:tabs>
        <w:spacing w:line="240" w:lineRule="auto"/>
        <w:rPr>
          <w:rFonts w:eastAsia="Times New Roman"/>
          <w:b/>
          <w:sz w:val="30"/>
          <w:lang w:val="en-GB"/>
        </w:rPr>
      </w:pPr>
      <w:r>
        <w:t xml:space="preserve">Note that </w:t>
      </w:r>
      <w:r w:rsidRPr="002918EA">
        <w:t xml:space="preserve">Scottish Vacant and Derelict Land statistics </w:t>
      </w:r>
      <w:r>
        <w:t>were</w:t>
      </w:r>
      <w:r w:rsidRPr="002918EA">
        <w:t xml:space="preserve"> not published for the 2020 survey. The statistics publication was suspended for that year because of limitations to survey returns due to COVID-19 pandemic related restrictions. It was not possible to produce a robust set of Scotland figures or ensure the quality of the returns is consistent with previous years, particularly in relation to any potential new sites.</w:t>
      </w:r>
      <w:r w:rsidRPr="002918EA" w:rsidDel="002918EA">
        <w:t xml:space="preserve"> </w:t>
      </w:r>
      <w:r w:rsidR="00175DE7">
        <w:br w:type="page"/>
      </w:r>
    </w:p>
    <w:p w14:paraId="4D9C8444" w14:textId="6C574A26" w:rsidR="00292758" w:rsidRDefault="00292758" w:rsidP="00292758">
      <w:pPr>
        <w:pStyle w:val="Heading2"/>
      </w:pPr>
      <w:r w:rsidRPr="00292758">
        <w:lastRenderedPageBreak/>
        <w:t>Socially Sustainable Communities</w:t>
      </w:r>
    </w:p>
    <w:p w14:paraId="31C78B06" w14:textId="3568ACBA" w:rsidR="00207781" w:rsidRDefault="00207781" w:rsidP="0066111E">
      <w:pPr>
        <w:pStyle w:val="Paragraph"/>
      </w:pPr>
      <w:r>
        <w:t>[Chart 3</w:t>
      </w:r>
      <w:r w:rsidR="00D177B7">
        <w:t>6</w:t>
      </w:r>
      <w:r w:rsidR="00EF50D0">
        <w:t xml:space="preserve"> – The Percentage of People Who Agree that Their Council Provides a High Quality Service</w:t>
      </w:r>
      <w:r w:rsidR="002918EA">
        <w:t xml:space="preserve"> (Source: Scottish Government - </w:t>
      </w:r>
      <w:r w:rsidR="002918EA" w:rsidRPr="002918EA">
        <w:rPr>
          <w:rFonts w:cs="Arial"/>
          <w:color w:val="000000"/>
          <w:sz w:val="28"/>
          <w:szCs w:val="28"/>
          <w:lang w:eastAsia="en-GB"/>
        </w:rPr>
        <w:t>Scottish House</w:t>
      </w:r>
      <w:r w:rsidR="002918EA">
        <w:rPr>
          <w:rFonts w:cs="Arial"/>
          <w:color w:val="000000"/>
          <w:sz w:val="28"/>
          <w:szCs w:val="28"/>
          <w:lang w:eastAsia="en-GB"/>
        </w:rPr>
        <w:t xml:space="preserve">hold </w:t>
      </w:r>
      <w:r w:rsidR="002918EA" w:rsidRPr="002918EA">
        <w:rPr>
          <w:rFonts w:cs="Arial"/>
          <w:color w:val="000000"/>
          <w:sz w:val="28"/>
          <w:szCs w:val="28"/>
          <w:lang w:eastAsia="en-GB"/>
        </w:rPr>
        <w:t>Survey</w:t>
      </w:r>
      <w:r w:rsidR="002918EA">
        <w:rPr>
          <w:rFonts w:cs="Arial"/>
          <w:color w:val="000000"/>
          <w:sz w:val="28"/>
          <w:szCs w:val="28"/>
          <w:lang w:eastAsia="en-GB"/>
        </w:rPr>
        <w:t>)</w:t>
      </w:r>
      <w:r w:rsidR="00C160BF">
        <w:t>]</w:t>
      </w:r>
    </w:p>
    <w:p w14:paraId="6F2E5145" w14:textId="53591766" w:rsidR="00513565" w:rsidRDefault="00513565" w:rsidP="0066111E">
      <w:pPr>
        <w:pStyle w:val="Paragraph"/>
      </w:pPr>
      <w:r>
        <w:rPr>
          <w:lang w:eastAsia="en-GB"/>
        </w:rPr>
        <w:drawing>
          <wp:inline distT="0" distB="0" distL="0" distR="0" wp14:anchorId="1BE38C35" wp14:editId="2E4AECAF">
            <wp:extent cx="6005181" cy="3397250"/>
            <wp:effectExtent l="0" t="0" r="0" b="0"/>
            <wp:docPr id="37" name="Graph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6005181" cy="3397250"/>
                    </a:xfrm>
                    <a:prstGeom prst="rect">
                      <a:avLst/>
                    </a:prstGeom>
                  </pic:spPr>
                </pic:pic>
              </a:graphicData>
            </a:graphic>
          </wp:inline>
        </w:drawing>
      </w:r>
    </w:p>
    <w:p w14:paraId="650FB859" w14:textId="498E406A" w:rsidR="0087167A" w:rsidRDefault="0087167A" w:rsidP="0066111E">
      <w:pPr>
        <w:pStyle w:val="Paragraph"/>
      </w:pPr>
      <w:r>
        <w:t>The percentage of people who agree that their Council provides a high quality service generally increased by 6.8</w:t>
      </w:r>
      <w:r w:rsidR="004D7E11">
        <w:t xml:space="preserve"> percentage points</w:t>
      </w:r>
      <w:r>
        <w:t xml:space="preserve"> from 39.9% in 2007 to 46.7% in 2014.</w:t>
      </w:r>
    </w:p>
    <w:p w14:paraId="0FB40FCA" w14:textId="7A1E8AAE" w:rsidR="000D0383" w:rsidRDefault="0087167A" w:rsidP="0066111E">
      <w:pPr>
        <w:pStyle w:val="Paragraph"/>
      </w:pPr>
      <w:r>
        <w:t>This was followed by a 6.0% point decrease in the following 3 years to 2017, including a large decrease of 3.9</w:t>
      </w:r>
      <w:r w:rsidR="004D7E11">
        <w:t xml:space="preserve"> percentage points</w:t>
      </w:r>
      <w:r>
        <w:t xml:space="preserve"> from 44.6% in 2016 to 40.7% in 2017. In 2018, the percentage increased by 5.3</w:t>
      </w:r>
      <w:r w:rsidR="004D7E11">
        <w:t xml:space="preserve"> percentage points</w:t>
      </w:r>
      <w:r>
        <w:t xml:space="preserve"> to 46.0%</w:t>
      </w:r>
      <w:r w:rsidR="004D7E11">
        <w:t>, falling again in 2019 to 44.3%, a 1.7 percentage point drop</w:t>
      </w:r>
      <w:r w:rsidR="00D701EC">
        <w:t>, resulting in a ‘worsening’ performnce for this indicator</w:t>
      </w:r>
      <w:r w:rsidR="004D7E11">
        <w:t>.</w:t>
      </w:r>
    </w:p>
    <w:p w14:paraId="19B8CFB8" w14:textId="77777777" w:rsidR="000D0383" w:rsidRDefault="000D0383" w:rsidP="0066111E">
      <w:pPr>
        <w:pStyle w:val="Paragraph"/>
      </w:pPr>
      <w:r w:rsidRPr="00F601AE">
        <w:t>Note that due to the impacts from the Covid pandemic</w:t>
      </w:r>
      <w:r>
        <w:t xml:space="preserve"> period, </w:t>
      </w:r>
      <w:r w:rsidRPr="00F601AE">
        <w:t>the results of the SHS 2020 telephone survey are not directly comparable to SHS results for previous years</w:t>
      </w:r>
      <w:r>
        <w:t>, and are not considered suitable for the purposes of indicator reporting.</w:t>
      </w:r>
    </w:p>
    <w:p w14:paraId="67E49222" w14:textId="77777777" w:rsidR="000D0383" w:rsidRDefault="000D0383" w:rsidP="0066111E">
      <w:pPr>
        <w:pStyle w:val="Paragraph"/>
      </w:pPr>
    </w:p>
    <w:p w14:paraId="7CAB0951" w14:textId="77777777" w:rsidR="00244C55" w:rsidRDefault="00244C55">
      <w:pPr>
        <w:tabs>
          <w:tab w:val="clear" w:pos="720"/>
          <w:tab w:val="clear" w:pos="1440"/>
          <w:tab w:val="clear" w:pos="2160"/>
          <w:tab w:val="clear" w:pos="2880"/>
          <w:tab w:val="clear" w:pos="4680"/>
          <w:tab w:val="clear" w:pos="5400"/>
          <w:tab w:val="clear" w:pos="9000"/>
        </w:tabs>
        <w:spacing w:line="240" w:lineRule="auto"/>
        <w:rPr>
          <w:rFonts w:eastAsia="Times New Roman"/>
          <w:noProof/>
          <w:lang w:val="en-GB"/>
        </w:rPr>
      </w:pPr>
      <w:r>
        <w:br w:type="page"/>
      </w:r>
    </w:p>
    <w:p w14:paraId="4109CD65" w14:textId="7BF37462" w:rsidR="000C6F7D" w:rsidRDefault="000C6F7D" w:rsidP="0066111E">
      <w:pPr>
        <w:pStyle w:val="Paragraph"/>
      </w:pPr>
      <w:r>
        <w:lastRenderedPageBreak/>
        <w:t>[Chart 3</w:t>
      </w:r>
      <w:r w:rsidR="00D177B7">
        <w:t>7</w:t>
      </w:r>
      <w:r w:rsidR="000D0383">
        <w:t xml:space="preserve"> – Percentage of People Satisfied with Community Centres and Facilities</w:t>
      </w:r>
      <w:r w:rsidR="002918EA">
        <w:t xml:space="preserve"> (Source: Scottish Government - </w:t>
      </w:r>
      <w:r w:rsidR="002918EA" w:rsidRPr="002918EA">
        <w:rPr>
          <w:rFonts w:cs="Arial"/>
          <w:color w:val="000000"/>
          <w:sz w:val="28"/>
          <w:szCs w:val="28"/>
          <w:lang w:eastAsia="en-GB"/>
        </w:rPr>
        <w:t>Scottish House</w:t>
      </w:r>
      <w:r w:rsidR="002918EA">
        <w:rPr>
          <w:rFonts w:cs="Arial"/>
          <w:color w:val="000000"/>
          <w:sz w:val="28"/>
          <w:szCs w:val="28"/>
          <w:lang w:eastAsia="en-GB"/>
        </w:rPr>
        <w:t xml:space="preserve">hold </w:t>
      </w:r>
      <w:r w:rsidR="002918EA" w:rsidRPr="002918EA">
        <w:rPr>
          <w:rFonts w:cs="Arial"/>
          <w:color w:val="000000"/>
          <w:sz w:val="28"/>
          <w:szCs w:val="28"/>
          <w:lang w:eastAsia="en-GB"/>
        </w:rPr>
        <w:t>Survey</w:t>
      </w:r>
      <w:r w:rsidR="002918EA">
        <w:rPr>
          <w:rFonts w:cs="Arial"/>
          <w:color w:val="000000"/>
          <w:sz w:val="28"/>
          <w:szCs w:val="28"/>
          <w:lang w:eastAsia="en-GB"/>
        </w:rPr>
        <w:t>)</w:t>
      </w:r>
      <w:r>
        <w:t>]</w:t>
      </w:r>
    </w:p>
    <w:p w14:paraId="7A5D9923" w14:textId="6D703D59" w:rsidR="00513565" w:rsidRDefault="00244C55" w:rsidP="0066111E">
      <w:pPr>
        <w:pStyle w:val="Paragraph"/>
      </w:pPr>
      <w:r>
        <w:rPr>
          <w:lang w:eastAsia="en-GB"/>
        </w:rPr>
        <w:drawing>
          <wp:inline distT="0" distB="0" distL="0" distR="0" wp14:anchorId="05EE6CBB" wp14:editId="0535E79F">
            <wp:extent cx="5999615" cy="3380105"/>
            <wp:effectExtent l="0" t="0" r="1270" b="0"/>
            <wp:docPr id="38" name="Graph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5999615" cy="3380105"/>
                    </a:xfrm>
                    <a:prstGeom prst="rect">
                      <a:avLst/>
                    </a:prstGeom>
                  </pic:spPr>
                </pic:pic>
              </a:graphicData>
            </a:graphic>
          </wp:inline>
        </w:drawing>
      </w:r>
    </w:p>
    <w:p w14:paraId="365B2954" w14:textId="1AFFE1A0" w:rsidR="001D6D72" w:rsidRDefault="001D6D72" w:rsidP="0066111E">
      <w:pPr>
        <w:pStyle w:val="Paragraph"/>
      </w:pPr>
      <w:r>
        <w:t>The percentage of people satisfied with Community Centres and Facilities increased by 5.5</w:t>
      </w:r>
      <w:r w:rsidR="004D7E11">
        <w:t xml:space="preserve"> percentage points</w:t>
      </w:r>
      <w:r>
        <w:t xml:space="preserve"> from 28.9% in 2009 to 34.4% in 2016.</w:t>
      </w:r>
    </w:p>
    <w:p w14:paraId="624D3B6D" w14:textId="20B40CF7" w:rsidR="001D6D72" w:rsidRDefault="001D6D72" w:rsidP="0066111E">
      <w:pPr>
        <w:pStyle w:val="Paragraph"/>
      </w:pPr>
      <w:r>
        <w:t>There was virtually no change in 2017, with the percentage remaining at 34.5%</w:t>
      </w:r>
      <w:r w:rsidR="00407994">
        <w:t>, falling to 30.7% in 2018 and then another 1.8 percentage points to 28.9% in 2019</w:t>
      </w:r>
      <w:r w:rsidR="00D701EC">
        <w:t>, resulting in a ‘worsening’ performance for this indicator.</w:t>
      </w:r>
      <w:r w:rsidR="00407994">
        <w:t>.</w:t>
      </w:r>
    </w:p>
    <w:p w14:paraId="588717E9" w14:textId="77777777" w:rsidR="000D0383" w:rsidRDefault="000D0383" w:rsidP="0066111E">
      <w:pPr>
        <w:pStyle w:val="Paragraph"/>
      </w:pPr>
      <w:r w:rsidRPr="00F601AE">
        <w:t>Note that due to the impacts from the Covid pandemic</w:t>
      </w:r>
      <w:r>
        <w:t xml:space="preserve"> period, </w:t>
      </w:r>
      <w:r w:rsidRPr="00F601AE">
        <w:t>the results of the SHS 2020 telephone survey are not directly comparable to SHS results for previous years</w:t>
      </w:r>
      <w:r>
        <w:t>, and are not considered suitable for the purposes of indicator reporting.</w:t>
      </w:r>
    </w:p>
    <w:p w14:paraId="5DB76D6D" w14:textId="77777777" w:rsidR="000D0383" w:rsidRDefault="000D0383" w:rsidP="0066111E">
      <w:pPr>
        <w:pStyle w:val="Paragraph"/>
      </w:pPr>
    </w:p>
    <w:p w14:paraId="1E7263C9" w14:textId="77777777" w:rsidR="003D4738" w:rsidRDefault="003D4738" w:rsidP="0066111E">
      <w:pPr>
        <w:pStyle w:val="Paragraph"/>
      </w:pPr>
    </w:p>
    <w:p w14:paraId="1086B35C" w14:textId="77777777" w:rsidR="003D4738" w:rsidRDefault="003D4738" w:rsidP="0066111E">
      <w:pPr>
        <w:pStyle w:val="Paragraph"/>
      </w:pPr>
    </w:p>
    <w:p w14:paraId="5A84A735" w14:textId="77777777" w:rsidR="003D4738" w:rsidRDefault="003D4738" w:rsidP="0066111E">
      <w:pPr>
        <w:pStyle w:val="Paragraph"/>
      </w:pPr>
    </w:p>
    <w:p w14:paraId="26BB9425" w14:textId="77777777" w:rsidR="003D4738" w:rsidRDefault="003D4738" w:rsidP="0066111E">
      <w:pPr>
        <w:pStyle w:val="Paragraph"/>
      </w:pPr>
    </w:p>
    <w:p w14:paraId="7AF3DBFC" w14:textId="77777777" w:rsidR="003D4738" w:rsidRDefault="003D4738" w:rsidP="0066111E">
      <w:pPr>
        <w:pStyle w:val="Paragraph"/>
      </w:pPr>
    </w:p>
    <w:p w14:paraId="7A177F7F" w14:textId="77777777" w:rsidR="003D4738" w:rsidRDefault="003D4738" w:rsidP="0066111E">
      <w:pPr>
        <w:pStyle w:val="Paragraph"/>
      </w:pPr>
    </w:p>
    <w:p w14:paraId="2DAC7425" w14:textId="77777777" w:rsidR="003D4738" w:rsidRDefault="003D4738" w:rsidP="0066111E">
      <w:pPr>
        <w:pStyle w:val="Paragraph"/>
      </w:pPr>
    </w:p>
    <w:p w14:paraId="65E65FCB" w14:textId="77777777" w:rsidR="003D4738" w:rsidRDefault="003D4738" w:rsidP="0066111E">
      <w:pPr>
        <w:pStyle w:val="Paragraph"/>
      </w:pPr>
    </w:p>
    <w:p w14:paraId="5DDAABA1" w14:textId="77777777" w:rsidR="003D4738" w:rsidRDefault="003D4738" w:rsidP="0066111E">
      <w:pPr>
        <w:pStyle w:val="Paragraph"/>
      </w:pPr>
    </w:p>
    <w:p w14:paraId="2DD70865" w14:textId="13E4BB84" w:rsidR="00294689" w:rsidRDefault="00294689" w:rsidP="0066111E">
      <w:pPr>
        <w:pStyle w:val="Paragraph"/>
      </w:pPr>
      <w:r>
        <w:lastRenderedPageBreak/>
        <w:t>[Chart 3</w:t>
      </w:r>
      <w:r w:rsidR="00D177B7">
        <w:t>8</w:t>
      </w:r>
      <w:r w:rsidR="000D0383">
        <w:t xml:space="preserve"> – Percentage of People who Believe they Can Influence Decisions in Their Area</w:t>
      </w:r>
      <w:r w:rsidR="002918EA">
        <w:t xml:space="preserve"> (Source: Scottish Government - </w:t>
      </w:r>
      <w:r w:rsidR="002918EA" w:rsidRPr="002918EA">
        <w:rPr>
          <w:rFonts w:cs="Arial"/>
          <w:color w:val="000000"/>
          <w:sz w:val="28"/>
          <w:szCs w:val="28"/>
          <w:lang w:eastAsia="en-GB"/>
        </w:rPr>
        <w:t>Scottish House</w:t>
      </w:r>
      <w:r w:rsidR="002918EA">
        <w:rPr>
          <w:rFonts w:cs="Arial"/>
          <w:color w:val="000000"/>
          <w:sz w:val="28"/>
          <w:szCs w:val="28"/>
          <w:lang w:eastAsia="en-GB"/>
        </w:rPr>
        <w:t xml:space="preserve">hold </w:t>
      </w:r>
      <w:r w:rsidR="002918EA" w:rsidRPr="002918EA">
        <w:rPr>
          <w:rFonts w:cs="Arial"/>
          <w:color w:val="000000"/>
          <w:sz w:val="28"/>
          <w:szCs w:val="28"/>
          <w:lang w:eastAsia="en-GB"/>
        </w:rPr>
        <w:t>Survey</w:t>
      </w:r>
      <w:r w:rsidR="002918EA">
        <w:rPr>
          <w:rFonts w:cs="Arial"/>
          <w:color w:val="000000"/>
          <w:sz w:val="28"/>
          <w:szCs w:val="28"/>
          <w:lang w:eastAsia="en-GB"/>
        </w:rPr>
        <w:t>)</w:t>
      </w:r>
      <w:r>
        <w:t>]</w:t>
      </w:r>
    </w:p>
    <w:p w14:paraId="17D66937" w14:textId="69939EB2" w:rsidR="00202D9E" w:rsidRDefault="00202D9E" w:rsidP="0066111E">
      <w:pPr>
        <w:pStyle w:val="Paragraph"/>
      </w:pPr>
      <w:r>
        <w:rPr>
          <w:lang w:eastAsia="en-GB"/>
        </w:rPr>
        <w:drawing>
          <wp:inline distT="0" distB="0" distL="0" distR="0" wp14:anchorId="5F3C0C32" wp14:editId="1F18B97E">
            <wp:extent cx="5996268" cy="3172460"/>
            <wp:effectExtent l="0" t="0" r="5080" b="8890"/>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pic:cNvPicPr/>
                  </pic:nvPicPr>
                  <pic:blipFill>
                    <a:blip r:embed="rId85" cstate="print">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5996268" cy="3172460"/>
                    </a:xfrm>
                    <a:prstGeom prst="rect">
                      <a:avLst/>
                    </a:prstGeom>
                  </pic:spPr>
                </pic:pic>
              </a:graphicData>
            </a:graphic>
          </wp:inline>
        </w:drawing>
      </w:r>
    </w:p>
    <w:p w14:paraId="0F6D36C8" w14:textId="33D1B161" w:rsidR="00422F9A" w:rsidRDefault="00422F9A" w:rsidP="0066111E">
      <w:pPr>
        <w:pStyle w:val="Paragraph"/>
      </w:pPr>
      <w:r>
        <w:t>The percentage of people who believe they can influence decisions in their area  increased by 4.0</w:t>
      </w:r>
      <w:r w:rsidR="004D7E11">
        <w:t xml:space="preserve"> percentage points</w:t>
      </w:r>
      <w:r>
        <w:t xml:space="preserve"> from 19.6% in 2007 to 23.6% in 2015.</w:t>
      </w:r>
    </w:p>
    <w:p w14:paraId="51562634" w14:textId="6F62CEB0" w:rsidR="00294689" w:rsidRDefault="004D7E11" w:rsidP="0066111E">
      <w:pPr>
        <w:pStyle w:val="Paragraph"/>
      </w:pPr>
      <w:r>
        <w:t>This has since fallen each year since, reaching 17.8% in 2019, a fall of 5.8 percentage points since 2015.</w:t>
      </w:r>
      <w:r w:rsidR="00D701EC">
        <w:t xml:space="preserve"> The fall of </w:t>
      </w:r>
      <w:r w:rsidR="001B1DBB">
        <w:t xml:space="preserve">2.3 percentage points in the last year results in a ‘worsening’ performance for this indiocator. </w:t>
      </w:r>
    </w:p>
    <w:p w14:paraId="372D20C5" w14:textId="77777777" w:rsidR="000D0383" w:rsidRDefault="000D0383" w:rsidP="0066111E">
      <w:pPr>
        <w:pStyle w:val="Paragraph"/>
      </w:pPr>
      <w:r w:rsidRPr="00F601AE">
        <w:t>Note that due to the impacts from the Covid pandemic</w:t>
      </w:r>
      <w:r>
        <w:t xml:space="preserve"> period, </w:t>
      </w:r>
      <w:r w:rsidRPr="00F601AE">
        <w:t>the results of the SHS 2020 telephone survey are not directly comparable to SHS results for previous years</w:t>
      </w:r>
      <w:r>
        <w:t>, and are not considered suitable for the purposes of indicator reporting.</w:t>
      </w:r>
    </w:p>
    <w:p w14:paraId="7893C2E7" w14:textId="77777777" w:rsidR="000D0383" w:rsidRDefault="000D0383" w:rsidP="0066111E">
      <w:pPr>
        <w:pStyle w:val="Paragraph"/>
      </w:pPr>
    </w:p>
    <w:p w14:paraId="29FE03EA" w14:textId="77777777" w:rsidR="003D4738" w:rsidRDefault="003D4738" w:rsidP="0066111E">
      <w:pPr>
        <w:pStyle w:val="Paragraph"/>
      </w:pPr>
    </w:p>
    <w:p w14:paraId="53860FB2" w14:textId="77777777" w:rsidR="003D4738" w:rsidRDefault="003D4738" w:rsidP="0066111E">
      <w:pPr>
        <w:pStyle w:val="Paragraph"/>
      </w:pPr>
    </w:p>
    <w:p w14:paraId="170A80A3" w14:textId="77777777" w:rsidR="003D4738" w:rsidRDefault="003D4738" w:rsidP="0066111E">
      <w:pPr>
        <w:pStyle w:val="Paragraph"/>
      </w:pPr>
    </w:p>
    <w:p w14:paraId="55D70D4B" w14:textId="77777777" w:rsidR="003D4738" w:rsidRDefault="003D4738" w:rsidP="0066111E">
      <w:pPr>
        <w:pStyle w:val="Paragraph"/>
      </w:pPr>
    </w:p>
    <w:p w14:paraId="66C609F8" w14:textId="77777777" w:rsidR="003D4738" w:rsidRDefault="003D4738" w:rsidP="0066111E">
      <w:pPr>
        <w:pStyle w:val="Paragraph"/>
      </w:pPr>
    </w:p>
    <w:p w14:paraId="07E3F3FF" w14:textId="77777777" w:rsidR="003D4738" w:rsidRDefault="003D4738" w:rsidP="0066111E">
      <w:pPr>
        <w:pStyle w:val="Paragraph"/>
      </w:pPr>
    </w:p>
    <w:p w14:paraId="5661E38C" w14:textId="77777777" w:rsidR="003D4738" w:rsidRDefault="003D4738" w:rsidP="0066111E">
      <w:pPr>
        <w:pStyle w:val="Paragraph"/>
      </w:pPr>
    </w:p>
    <w:p w14:paraId="742777FC" w14:textId="77777777" w:rsidR="003D4738" w:rsidRDefault="003D4738" w:rsidP="0066111E">
      <w:pPr>
        <w:pStyle w:val="Paragraph"/>
      </w:pPr>
    </w:p>
    <w:p w14:paraId="228C72B5" w14:textId="77777777" w:rsidR="003D4738" w:rsidRDefault="003D4738" w:rsidP="0066111E">
      <w:pPr>
        <w:pStyle w:val="Paragraph"/>
      </w:pPr>
    </w:p>
    <w:p w14:paraId="52170897" w14:textId="55439122" w:rsidR="00294689" w:rsidRDefault="00294689" w:rsidP="0066111E">
      <w:pPr>
        <w:pStyle w:val="Paragraph"/>
      </w:pPr>
      <w:r>
        <w:lastRenderedPageBreak/>
        <w:t>[Chart 3</w:t>
      </w:r>
      <w:r w:rsidR="00D177B7">
        <w:t>9</w:t>
      </w:r>
      <w:r w:rsidR="000D0383">
        <w:t xml:space="preserve"> – Percentage of People Who Feel Safe Whilst Walking Alone in Their Neighbourhood at Night</w:t>
      </w:r>
      <w:r w:rsidR="002918EA">
        <w:t xml:space="preserve"> (Source: Scottish Government - </w:t>
      </w:r>
      <w:r w:rsidR="002918EA" w:rsidRPr="002918EA">
        <w:rPr>
          <w:rFonts w:cs="Arial"/>
          <w:color w:val="000000"/>
          <w:sz w:val="28"/>
          <w:szCs w:val="28"/>
          <w:lang w:eastAsia="en-GB"/>
        </w:rPr>
        <w:t>Scottish House</w:t>
      </w:r>
      <w:r w:rsidR="002918EA">
        <w:rPr>
          <w:rFonts w:cs="Arial"/>
          <w:color w:val="000000"/>
          <w:sz w:val="28"/>
          <w:szCs w:val="28"/>
          <w:lang w:eastAsia="en-GB"/>
        </w:rPr>
        <w:t xml:space="preserve">hold </w:t>
      </w:r>
      <w:r w:rsidR="002918EA" w:rsidRPr="002918EA">
        <w:rPr>
          <w:rFonts w:cs="Arial"/>
          <w:color w:val="000000"/>
          <w:sz w:val="28"/>
          <w:szCs w:val="28"/>
          <w:lang w:eastAsia="en-GB"/>
        </w:rPr>
        <w:t>Survey</w:t>
      </w:r>
      <w:r w:rsidR="002918EA">
        <w:rPr>
          <w:rFonts w:cs="Arial"/>
          <w:color w:val="000000"/>
          <w:sz w:val="28"/>
          <w:szCs w:val="28"/>
          <w:lang w:eastAsia="en-GB"/>
        </w:rPr>
        <w:t>)</w:t>
      </w:r>
      <w:r>
        <w:t>]</w:t>
      </w:r>
    </w:p>
    <w:p w14:paraId="332A31EC" w14:textId="483AD6F9" w:rsidR="00202D9E" w:rsidRDefault="00DB46ED" w:rsidP="0066111E">
      <w:pPr>
        <w:pStyle w:val="Paragraph"/>
      </w:pPr>
      <w:r>
        <w:rPr>
          <w:lang w:eastAsia="en-GB"/>
        </w:rPr>
        <w:drawing>
          <wp:inline distT="0" distB="0" distL="0" distR="0" wp14:anchorId="1455F5DC" wp14:editId="6C002003">
            <wp:extent cx="5979817" cy="3827780"/>
            <wp:effectExtent l="0" t="0" r="1905" b="1270"/>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pic:cNvPicPr/>
                  </pic:nvPicPr>
                  <pic:blipFill>
                    <a:blip r:embed="rId87" cstate="print">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0" y="0"/>
                      <a:ext cx="5979817" cy="3827780"/>
                    </a:xfrm>
                    <a:prstGeom prst="rect">
                      <a:avLst/>
                    </a:prstGeom>
                  </pic:spPr>
                </pic:pic>
              </a:graphicData>
            </a:graphic>
          </wp:inline>
        </w:drawing>
      </w:r>
    </w:p>
    <w:p w14:paraId="3CF86F8A" w14:textId="0B64DBEC" w:rsidR="00F8578D" w:rsidRPr="00A20369" w:rsidRDefault="00F8578D" w:rsidP="0066111E">
      <w:pPr>
        <w:pStyle w:val="Paragraph"/>
      </w:pPr>
      <w:r w:rsidRPr="00A20369">
        <w:t xml:space="preserve">Note: There has been a downward revision to previous figures for 2012 to 2016, in the range of 2.5% to 2.9%. This reflects the inclusion of people who answered ‘Don’t Know’ to this question, who were previously excluded from the results.  </w:t>
      </w:r>
    </w:p>
    <w:p w14:paraId="673AA4DB" w14:textId="605555D6" w:rsidR="00A20369" w:rsidRDefault="00A20369" w:rsidP="0066111E">
      <w:pPr>
        <w:pStyle w:val="Paragraph"/>
      </w:pPr>
      <w:r>
        <w:t>There was a marked increase in the percentage of people who feel safe walking alone in their neighbourhood at night, from 72.0% in 2008 to 78.3% in 2011.</w:t>
      </w:r>
    </w:p>
    <w:p w14:paraId="7BA33F21" w14:textId="3D6D1E87" w:rsidR="00A20369" w:rsidRDefault="00A20369" w:rsidP="0066111E">
      <w:pPr>
        <w:pStyle w:val="Paragraph"/>
      </w:pPr>
      <w:r>
        <w:t>There was a change in the Scottish Household Survey questions, which mean that results from 2012 are not directly comparable with the past.</w:t>
      </w:r>
    </w:p>
    <w:p w14:paraId="074AA228" w14:textId="07B95A6E" w:rsidR="001D6D72" w:rsidRDefault="00A20369" w:rsidP="0066111E">
      <w:pPr>
        <w:pStyle w:val="Paragraph"/>
      </w:pPr>
      <w:r>
        <w:t>There was continued improvement in this indicator, with an increase of 3.1</w:t>
      </w:r>
      <w:r w:rsidR="004D7E11">
        <w:t xml:space="preserve"> percentage points</w:t>
      </w:r>
      <w:r>
        <w:t xml:space="preserve"> from 79.8% in 2012 to 82.9% in 2016.</w:t>
      </w:r>
      <w:r w:rsidR="004D7E11">
        <w:t xml:space="preserve"> Since then, it has remained roughly level, at 82.9% in 2019</w:t>
      </w:r>
      <w:r w:rsidR="001B1DBB">
        <w:t>.</w:t>
      </w:r>
      <w:r w:rsidR="004D7E11">
        <w:t>.</w:t>
      </w:r>
    </w:p>
    <w:p w14:paraId="4F8190B8" w14:textId="77777777" w:rsidR="00407994" w:rsidRDefault="00407994" w:rsidP="0066111E">
      <w:pPr>
        <w:pStyle w:val="Paragraph"/>
      </w:pPr>
      <w:r>
        <w:t>As data is missing for 2018, performance has been evaluated using twice the normal threshold (a change of more than 2.0 percentage points rather than 1.0). This means the indicator is “maintaining”.</w:t>
      </w:r>
    </w:p>
    <w:p w14:paraId="45049ECC" w14:textId="2186E811" w:rsidR="000D0383" w:rsidRDefault="000D0383" w:rsidP="0066111E">
      <w:pPr>
        <w:pStyle w:val="Paragraph"/>
      </w:pPr>
      <w:r>
        <w:t>Note t</w:t>
      </w:r>
      <w:r w:rsidRPr="000D0383">
        <w:t>his question was removed from the 2018 SHS questionnaire. Therefore, no data is available for 2018.</w:t>
      </w:r>
      <w:r>
        <w:t xml:space="preserve"> D</w:t>
      </w:r>
      <w:r w:rsidRPr="00F601AE">
        <w:t>ue to the impacts from the Covid pandemic</w:t>
      </w:r>
      <w:r>
        <w:t xml:space="preserve"> period, </w:t>
      </w:r>
      <w:r w:rsidRPr="00F601AE">
        <w:t>the results of the SHS 2020 telephone survey are not directly comparable to SHS results for previous years</w:t>
      </w:r>
      <w:r>
        <w:t>, and are not considered suitable for the purposes of indicator reporting.</w:t>
      </w:r>
    </w:p>
    <w:p w14:paraId="4F473420" w14:textId="77777777" w:rsidR="001D6D72" w:rsidRPr="00207781" w:rsidRDefault="001D6D72" w:rsidP="0066111E">
      <w:pPr>
        <w:pStyle w:val="Paragraph"/>
      </w:pPr>
    </w:p>
    <w:sectPr w:rsidR="001D6D72" w:rsidRPr="00207781" w:rsidSect="00DA6D0B">
      <w:footerReference w:type="default" r:id="rId89"/>
      <w:pgSz w:w="11900" w:h="16840" w:code="9"/>
      <w:pgMar w:top="1134" w:right="1134" w:bottom="851" w:left="1134" w:header="851" w:footer="851"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2">
      <wne:acd wne:acdName="acd2"/>
    </wne:keymap>
    <wne:keymap wne:kcmPrimary="0233">
      <wne:acd wne:acdName="acd4"/>
    </wne:keymap>
    <wne:keymap wne:kcmPrimary="0234">
      <wne:acd wne:acdName="acd6"/>
    </wne:keymap>
    <wne:keymap wne:kcmPrimary="0235">
      <wne:acd wne:acdName="acd14"/>
    </wne:keymap>
    <wne:keymap wne:kcmPrimary="0236">
      <wne:acd wne:acdName="acd15"/>
    </wne:keymap>
    <wne:keymap wne:kcmPrimary="0242">
      <wne:acd wne:acdName="acd13"/>
    </wne:keymap>
    <wne:keymap wne:kcmPrimary="0254">
      <wne:fci wne:fciName="ClearAllFormatting" wne:swArg="0000"/>
    </wne:keymap>
    <wne:keymap wne:kcmPrimary="0270">
      <wne:acd wne:acdName="acd19"/>
    </wne:keymap>
    <wne:keymap wne:kcmPrimary="0271">
      <wne:acd wne:acdName="acd8"/>
    </wne:keymap>
    <wne:keymap wne:kcmPrimary="0272">
      <wne:acd wne:acdName="acd10"/>
    </wne:keymap>
    <wne:keymap wne:kcmPrimary="0273">
      <wne:acd wne:acdName="acd9"/>
    </wne:keymap>
    <wne:keymap wne:kcmPrimary="0274">
      <wne:acd wne:acdName="acd11"/>
    </wne:keymap>
    <wne:keymap wne:kcmPrimary="0275">
      <wne:acd wne:acdName="acd12"/>
    </wne:keymap>
    <wne:keymap wne:kcmPrimary="0331">
      <wne:acd wne:acdName="acd16"/>
    </wne:keymap>
    <wne:keymap wne:kcmPrimary="0332">
      <wne:acd wne:acdName="acd17"/>
    </wne:keymap>
    <wne:keymap wne:kcmPrimary="0333">
      <wne:acd wne:acdName="acd18"/>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Manifest>
  </wne:toolbars>
  <wne:acds>
    <wne:acd wne:argValue="AQAAAAEA" wne:acdName="acd0" wne:fciIndexBasedOn="0065"/>
    <wne:acd wne:acdName="acd1" wne:fciIndexBasedOn="0065"/>
    <wne:acd wne:argValue="AQAAAAIA" wne:acdName="acd2" wne:fciIndexBasedOn="0065"/>
    <wne:acd wne:acdName="acd3" wne:fciIndexBasedOn="0065"/>
    <wne:acd wne:argValue="AQAAAAMA" wne:acdName="acd4" wne:fciIndexBasedOn="0065"/>
    <wne:acd wne:acdName="acd5" wne:fciIndexBasedOn="0065"/>
    <wne:acd wne:argValue="AgBTAEcAIABHAHIAYQBwAGgALwBUAGEAYgBsAGUAIABUAGkAdABsAGUA" wne:acdName="acd6" wne:fciIndexBasedOn="0065"/>
    <wne:acd wne:acdName="acd7" wne:fciIndexBasedOn="0065"/>
    <wne:acd wne:argValue="AgBTAEcAIABCAG8AZAB5ACAASQBuAGQAZQBuAHQA" wne:acdName="acd8" wne:fciIndexBasedOn="0065"/>
    <wne:acd wne:argValue="AgBTAEcAIABOAHUAbQBiAGUAcgBlAGQA" wne:acdName="acd9" wne:fciIndexBasedOn="0065"/>
    <wne:acd wne:argValue="AgBTAEcAIABCAHUAbABsAGUAdAA=" wne:acdName="acd10" wne:fciIndexBasedOn="0065"/>
    <wne:acd wne:argValue="AgBTAEcAIABiAG8AeAAgAHQAZQB4AHQA" wne:acdName="acd11" wne:fciIndexBasedOn="0065"/>
    <wne:acd wne:argValue="AgBTAEcAIABCAG8AeAAgAHQAZQB4AHQAIABTAGgAYQBkAGUAZAA=" wne:acdName="acd12" wne:fciIndexBasedOn="0065"/>
    <wne:acd wne:argValue="AgBTAEcAIABCAG8AbABkACAAKABDAGgAYQByAGEAYwB0AGUAcgApAA==" wne:acdName="acd13" wne:fciIndexBasedOn="0065"/>
    <wne:acd wne:argValue="AgBTAEcAIABUAGEAYgBsAGUAIABIAGUAYQBkAGkAbgBnACAAMQA=" wne:acdName="acd14" wne:fciIndexBasedOn="0065"/>
    <wne:acd wne:argValue="AgBTAEcAIABUAGEAYgBsAGUAIABCAG8AZAB5ACAAMQA=" wne:acdName="acd15" wne:fciIndexBasedOn="0065"/>
    <wne:acd wne:argValue="AgBIAGUAYQBkAGkAbgBnACAAMQAgAGcAcgBlAGUAbgA=" wne:acdName="acd16" wne:fciIndexBasedOn="0065"/>
    <wne:acd wne:argValue="AgBIAGUAYQBkAGkAbgBnACAAMgAgAGcAcgBlAGUAbgA=" wne:acdName="acd17" wne:fciIndexBasedOn="0065"/>
    <wne:acd wne:argValue="AgBIAGUAYQBkAGkAbgBnACAAMwAgAGcAcgBlAGUAbgA=" wne:acdName="acd18" wne:fciIndexBasedOn="0065"/>
    <wne:acd wne:argValue="AgBQAGEAcgBhAGcAcgBhAHAAaAA=" wne:acdName="acd1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020B2" w14:textId="77777777" w:rsidR="006335A9" w:rsidRPr="00B31C7F" w:rsidRDefault="006335A9" w:rsidP="00B31C7F">
      <w:r>
        <w:separator/>
      </w:r>
    </w:p>
    <w:p w14:paraId="2BA320E3" w14:textId="77777777" w:rsidR="006335A9" w:rsidRDefault="006335A9"/>
    <w:p w14:paraId="2C315E3C" w14:textId="77777777" w:rsidR="006335A9" w:rsidRDefault="006335A9"/>
  </w:endnote>
  <w:endnote w:type="continuationSeparator" w:id="0">
    <w:p w14:paraId="776944E9" w14:textId="77777777" w:rsidR="006335A9" w:rsidRPr="00B31C7F" w:rsidRDefault="006335A9" w:rsidP="00B31C7F">
      <w:r>
        <w:continuationSeparator/>
      </w:r>
    </w:p>
    <w:p w14:paraId="1C858C6B" w14:textId="77777777" w:rsidR="006335A9" w:rsidRDefault="006335A9"/>
    <w:p w14:paraId="4A689C65" w14:textId="77777777" w:rsidR="006335A9" w:rsidRDefault="006335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A049D" w14:textId="7962096C" w:rsidR="001C3E06" w:rsidRDefault="001C3E06" w:rsidP="006C2CF8">
    <w:pPr>
      <w:jc w:val="center"/>
    </w:pPr>
    <w:r w:rsidRPr="0070570D">
      <w:fldChar w:fldCharType="begin"/>
    </w:r>
    <w:r w:rsidRPr="0070570D">
      <w:instrText xml:space="preserve">PAGE  </w:instrText>
    </w:r>
    <w:r w:rsidRPr="0070570D">
      <w:fldChar w:fldCharType="separate"/>
    </w:r>
    <w:r w:rsidR="00A90761">
      <w:rPr>
        <w:noProof/>
      </w:rPr>
      <w:t>20</w:t>
    </w:r>
    <w:r w:rsidRPr="0070570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ADAD2" w14:textId="77777777" w:rsidR="006335A9" w:rsidRPr="006D2D20" w:rsidRDefault="006335A9">
      <w:r>
        <w:separator/>
      </w:r>
    </w:p>
  </w:footnote>
  <w:footnote w:type="continuationSeparator" w:id="0">
    <w:p w14:paraId="380B765E" w14:textId="77777777" w:rsidR="006335A9" w:rsidRPr="00B31C7F" w:rsidRDefault="006335A9" w:rsidP="00B31C7F">
      <w:r>
        <w:continuationSeparator/>
      </w:r>
    </w:p>
    <w:p w14:paraId="2AC8CAB1" w14:textId="77777777" w:rsidR="006335A9" w:rsidRDefault="006335A9"/>
    <w:p w14:paraId="7414BA45" w14:textId="77777777" w:rsidR="006335A9" w:rsidRDefault="006335A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151DB4"/>
    <w:multiLevelType w:val="hybridMultilevel"/>
    <w:tmpl w:val="373681B2"/>
    <w:lvl w:ilvl="0" w:tplc="1954ED60">
      <w:start w:val="1"/>
      <w:numFmt w:val="bullet"/>
      <w:pStyle w:val="SGTab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F41055"/>
    <w:multiLevelType w:val="hybridMultilevel"/>
    <w:tmpl w:val="A502D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BE29EA"/>
    <w:multiLevelType w:val="hybridMultilevel"/>
    <w:tmpl w:val="83944A6E"/>
    <w:lvl w:ilvl="0" w:tplc="84D6A07E">
      <w:start w:val="1"/>
      <w:numFmt w:val="decimal"/>
      <w:pStyle w:val="SGNumbered"/>
      <w:lvlText w:val="%1."/>
      <w:lvlJc w:val="left"/>
      <w:pPr>
        <w:ind w:left="717"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9B11531"/>
    <w:multiLevelType w:val="multilevel"/>
    <w:tmpl w:val="6D6673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4F47AE"/>
    <w:multiLevelType w:val="hybridMultilevel"/>
    <w:tmpl w:val="17FEED64"/>
    <w:lvl w:ilvl="0" w:tplc="E7B0F322">
      <w:start w:val="1"/>
      <w:numFmt w:val="lowerRoman"/>
      <w:pStyle w:val="ExecSummaryBodyText"/>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7052069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56599700">
    <w:abstractNumId w:val="2"/>
  </w:num>
  <w:num w:numId="3" w16cid:durableId="975111212">
    <w:abstractNumId w:val="0"/>
  </w:num>
  <w:num w:numId="4" w16cid:durableId="1587687439">
    <w:abstractNumId w:val="1"/>
  </w:num>
  <w:num w:numId="5" w16cid:durableId="182774786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formatting="1" w:enforcement="0"/>
  <w:autoFormatOverride/>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CF8"/>
    <w:rsid w:val="000004BB"/>
    <w:rsid w:val="000048D2"/>
    <w:rsid w:val="000063E4"/>
    <w:rsid w:val="00007C82"/>
    <w:rsid w:val="00011CB5"/>
    <w:rsid w:val="0002168F"/>
    <w:rsid w:val="00022B92"/>
    <w:rsid w:val="00025FAC"/>
    <w:rsid w:val="000264B4"/>
    <w:rsid w:val="00035434"/>
    <w:rsid w:val="00040818"/>
    <w:rsid w:val="00043F19"/>
    <w:rsid w:val="000465F8"/>
    <w:rsid w:val="00047AE3"/>
    <w:rsid w:val="00051A43"/>
    <w:rsid w:val="00051B77"/>
    <w:rsid w:val="0005422C"/>
    <w:rsid w:val="00055838"/>
    <w:rsid w:val="00063D63"/>
    <w:rsid w:val="00063E74"/>
    <w:rsid w:val="0006550E"/>
    <w:rsid w:val="0007007C"/>
    <w:rsid w:val="00071CB6"/>
    <w:rsid w:val="00073B83"/>
    <w:rsid w:val="00077E67"/>
    <w:rsid w:val="00080E94"/>
    <w:rsid w:val="000831A1"/>
    <w:rsid w:val="0008785D"/>
    <w:rsid w:val="00090EF9"/>
    <w:rsid w:val="00093F16"/>
    <w:rsid w:val="00094D6D"/>
    <w:rsid w:val="0009768B"/>
    <w:rsid w:val="000A1CFC"/>
    <w:rsid w:val="000A7AEF"/>
    <w:rsid w:val="000B168E"/>
    <w:rsid w:val="000B3D81"/>
    <w:rsid w:val="000B442C"/>
    <w:rsid w:val="000C437C"/>
    <w:rsid w:val="000C58E5"/>
    <w:rsid w:val="000C6F7D"/>
    <w:rsid w:val="000D0383"/>
    <w:rsid w:val="000D0542"/>
    <w:rsid w:val="000D288F"/>
    <w:rsid w:val="000D32A7"/>
    <w:rsid w:val="000D4A10"/>
    <w:rsid w:val="000E44A8"/>
    <w:rsid w:val="000E7321"/>
    <w:rsid w:val="000F728E"/>
    <w:rsid w:val="000F76D9"/>
    <w:rsid w:val="000F7A30"/>
    <w:rsid w:val="000F7E28"/>
    <w:rsid w:val="00100712"/>
    <w:rsid w:val="00102126"/>
    <w:rsid w:val="00103752"/>
    <w:rsid w:val="00104D4D"/>
    <w:rsid w:val="00107CD1"/>
    <w:rsid w:val="00112F3A"/>
    <w:rsid w:val="0012360C"/>
    <w:rsid w:val="0012726C"/>
    <w:rsid w:val="001279C3"/>
    <w:rsid w:val="00134F1E"/>
    <w:rsid w:val="00137123"/>
    <w:rsid w:val="001421AE"/>
    <w:rsid w:val="00145AEB"/>
    <w:rsid w:val="001461CF"/>
    <w:rsid w:val="00146F51"/>
    <w:rsid w:val="00150EF0"/>
    <w:rsid w:val="001527F1"/>
    <w:rsid w:val="00152832"/>
    <w:rsid w:val="00155EFA"/>
    <w:rsid w:val="00167AA8"/>
    <w:rsid w:val="00171DCE"/>
    <w:rsid w:val="00175762"/>
    <w:rsid w:val="00175DE7"/>
    <w:rsid w:val="001760DD"/>
    <w:rsid w:val="00182B78"/>
    <w:rsid w:val="001844EB"/>
    <w:rsid w:val="00185E01"/>
    <w:rsid w:val="001863F1"/>
    <w:rsid w:val="00187BDC"/>
    <w:rsid w:val="00192A02"/>
    <w:rsid w:val="00193DEB"/>
    <w:rsid w:val="001A32C6"/>
    <w:rsid w:val="001B1DBB"/>
    <w:rsid w:val="001C3E06"/>
    <w:rsid w:val="001C4FE6"/>
    <w:rsid w:val="001C790F"/>
    <w:rsid w:val="001D0079"/>
    <w:rsid w:val="001D3D72"/>
    <w:rsid w:val="001D6D72"/>
    <w:rsid w:val="001E0311"/>
    <w:rsid w:val="001E759C"/>
    <w:rsid w:val="001E75AA"/>
    <w:rsid w:val="001F3F5C"/>
    <w:rsid w:val="001F4C91"/>
    <w:rsid w:val="00202B02"/>
    <w:rsid w:val="00202D9E"/>
    <w:rsid w:val="00203B3F"/>
    <w:rsid w:val="0020706B"/>
    <w:rsid w:val="00207781"/>
    <w:rsid w:val="0022687E"/>
    <w:rsid w:val="002270B1"/>
    <w:rsid w:val="00230131"/>
    <w:rsid w:val="00233578"/>
    <w:rsid w:val="002416AF"/>
    <w:rsid w:val="0024344B"/>
    <w:rsid w:val="00243D53"/>
    <w:rsid w:val="00244C55"/>
    <w:rsid w:val="0025187E"/>
    <w:rsid w:val="0026022A"/>
    <w:rsid w:val="002602CC"/>
    <w:rsid w:val="00261D24"/>
    <w:rsid w:val="00262B09"/>
    <w:rsid w:val="00265EC4"/>
    <w:rsid w:val="002665FA"/>
    <w:rsid w:val="00271DC9"/>
    <w:rsid w:val="00276DDF"/>
    <w:rsid w:val="0028108C"/>
    <w:rsid w:val="002814D5"/>
    <w:rsid w:val="002814E6"/>
    <w:rsid w:val="00285495"/>
    <w:rsid w:val="00287137"/>
    <w:rsid w:val="002918EA"/>
    <w:rsid w:val="00292758"/>
    <w:rsid w:val="00292F1C"/>
    <w:rsid w:val="00294689"/>
    <w:rsid w:val="002979C7"/>
    <w:rsid w:val="002A3EA9"/>
    <w:rsid w:val="002B2F16"/>
    <w:rsid w:val="002B42C6"/>
    <w:rsid w:val="002B4E58"/>
    <w:rsid w:val="002B520C"/>
    <w:rsid w:val="002C0971"/>
    <w:rsid w:val="002C0A79"/>
    <w:rsid w:val="002C4754"/>
    <w:rsid w:val="002C4C1D"/>
    <w:rsid w:val="002C6E72"/>
    <w:rsid w:val="002C73BA"/>
    <w:rsid w:val="002D3DA1"/>
    <w:rsid w:val="002D49D6"/>
    <w:rsid w:val="002D5D44"/>
    <w:rsid w:val="002E051B"/>
    <w:rsid w:val="002E0AC4"/>
    <w:rsid w:val="002E69B1"/>
    <w:rsid w:val="002E7EE8"/>
    <w:rsid w:val="002F043F"/>
    <w:rsid w:val="002F0E89"/>
    <w:rsid w:val="002F20AC"/>
    <w:rsid w:val="002F348C"/>
    <w:rsid w:val="002F6C9E"/>
    <w:rsid w:val="00300C17"/>
    <w:rsid w:val="00305B2F"/>
    <w:rsid w:val="0030647C"/>
    <w:rsid w:val="00310A89"/>
    <w:rsid w:val="003126CC"/>
    <w:rsid w:val="00314B1B"/>
    <w:rsid w:val="00316587"/>
    <w:rsid w:val="003169EA"/>
    <w:rsid w:val="003225C1"/>
    <w:rsid w:val="003267B5"/>
    <w:rsid w:val="00332E0D"/>
    <w:rsid w:val="003354F9"/>
    <w:rsid w:val="0033607A"/>
    <w:rsid w:val="003368BB"/>
    <w:rsid w:val="0033744D"/>
    <w:rsid w:val="00342F90"/>
    <w:rsid w:val="00345AFC"/>
    <w:rsid w:val="0034686C"/>
    <w:rsid w:val="00354270"/>
    <w:rsid w:val="00355975"/>
    <w:rsid w:val="00363CA8"/>
    <w:rsid w:val="00372450"/>
    <w:rsid w:val="00375293"/>
    <w:rsid w:val="00381059"/>
    <w:rsid w:val="00382E5D"/>
    <w:rsid w:val="0039029E"/>
    <w:rsid w:val="003964D1"/>
    <w:rsid w:val="003A02DC"/>
    <w:rsid w:val="003A1EFC"/>
    <w:rsid w:val="003B0605"/>
    <w:rsid w:val="003B1AC6"/>
    <w:rsid w:val="003B27C6"/>
    <w:rsid w:val="003B28B3"/>
    <w:rsid w:val="003C20F4"/>
    <w:rsid w:val="003C3907"/>
    <w:rsid w:val="003C3F6F"/>
    <w:rsid w:val="003D3674"/>
    <w:rsid w:val="003D4738"/>
    <w:rsid w:val="003D5229"/>
    <w:rsid w:val="003D710C"/>
    <w:rsid w:val="003E0571"/>
    <w:rsid w:val="003F57C0"/>
    <w:rsid w:val="003F5FFF"/>
    <w:rsid w:val="004009E7"/>
    <w:rsid w:val="00407994"/>
    <w:rsid w:val="00422F9A"/>
    <w:rsid w:val="004314EA"/>
    <w:rsid w:val="00435555"/>
    <w:rsid w:val="0044362F"/>
    <w:rsid w:val="00443AB1"/>
    <w:rsid w:val="00445FBF"/>
    <w:rsid w:val="004470A8"/>
    <w:rsid w:val="00447D0B"/>
    <w:rsid w:val="0045254D"/>
    <w:rsid w:val="00455C6A"/>
    <w:rsid w:val="00455FEA"/>
    <w:rsid w:val="00456A26"/>
    <w:rsid w:val="00463ED1"/>
    <w:rsid w:val="0046658F"/>
    <w:rsid w:val="00467FAD"/>
    <w:rsid w:val="00475E50"/>
    <w:rsid w:val="00477840"/>
    <w:rsid w:val="00481731"/>
    <w:rsid w:val="004824B0"/>
    <w:rsid w:val="00482DAB"/>
    <w:rsid w:val="0048474D"/>
    <w:rsid w:val="00484BC2"/>
    <w:rsid w:val="00485CF0"/>
    <w:rsid w:val="0048685A"/>
    <w:rsid w:val="00487674"/>
    <w:rsid w:val="00492304"/>
    <w:rsid w:val="00492C97"/>
    <w:rsid w:val="0049719C"/>
    <w:rsid w:val="00497D41"/>
    <w:rsid w:val="004A1C5D"/>
    <w:rsid w:val="004A7A4E"/>
    <w:rsid w:val="004B14B6"/>
    <w:rsid w:val="004C2471"/>
    <w:rsid w:val="004D7E11"/>
    <w:rsid w:val="004F0E76"/>
    <w:rsid w:val="004F0FCB"/>
    <w:rsid w:val="004F6398"/>
    <w:rsid w:val="00502C2E"/>
    <w:rsid w:val="00513565"/>
    <w:rsid w:val="00514C15"/>
    <w:rsid w:val="00514F36"/>
    <w:rsid w:val="00521B06"/>
    <w:rsid w:val="00522CBC"/>
    <w:rsid w:val="00524D6C"/>
    <w:rsid w:val="0053072C"/>
    <w:rsid w:val="00532961"/>
    <w:rsid w:val="00532D7F"/>
    <w:rsid w:val="005338F3"/>
    <w:rsid w:val="00537BDF"/>
    <w:rsid w:val="0054095A"/>
    <w:rsid w:val="00540CC0"/>
    <w:rsid w:val="00541C2F"/>
    <w:rsid w:val="005424EB"/>
    <w:rsid w:val="005469F0"/>
    <w:rsid w:val="005502F9"/>
    <w:rsid w:val="0055306F"/>
    <w:rsid w:val="0055475D"/>
    <w:rsid w:val="00556065"/>
    <w:rsid w:val="005562D5"/>
    <w:rsid w:val="00556B8B"/>
    <w:rsid w:val="00572E29"/>
    <w:rsid w:val="005833D7"/>
    <w:rsid w:val="00583C10"/>
    <w:rsid w:val="005852EA"/>
    <w:rsid w:val="005864FA"/>
    <w:rsid w:val="00590E8D"/>
    <w:rsid w:val="0059351B"/>
    <w:rsid w:val="00594287"/>
    <w:rsid w:val="00594FFF"/>
    <w:rsid w:val="005976FA"/>
    <w:rsid w:val="005A0659"/>
    <w:rsid w:val="005A33B7"/>
    <w:rsid w:val="005A35A4"/>
    <w:rsid w:val="005A61CC"/>
    <w:rsid w:val="005A6D68"/>
    <w:rsid w:val="005A6E7B"/>
    <w:rsid w:val="005B4D17"/>
    <w:rsid w:val="005B67C6"/>
    <w:rsid w:val="005C151F"/>
    <w:rsid w:val="005C37D4"/>
    <w:rsid w:val="005C5B26"/>
    <w:rsid w:val="005D0DB2"/>
    <w:rsid w:val="005D248C"/>
    <w:rsid w:val="005D6AA6"/>
    <w:rsid w:val="005E3216"/>
    <w:rsid w:val="005E6253"/>
    <w:rsid w:val="005F042F"/>
    <w:rsid w:val="005F2581"/>
    <w:rsid w:val="005F45A8"/>
    <w:rsid w:val="005F510F"/>
    <w:rsid w:val="005F67F0"/>
    <w:rsid w:val="005F6D7F"/>
    <w:rsid w:val="005F7C0F"/>
    <w:rsid w:val="00610CD0"/>
    <w:rsid w:val="00612C7C"/>
    <w:rsid w:val="0061312E"/>
    <w:rsid w:val="006132B4"/>
    <w:rsid w:val="006151D1"/>
    <w:rsid w:val="00615C18"/>
    <w:rsid w:val="0062349D"/>
    <w:rsid w:val="00631FD3"/>
    <w:rsid w:val="0063223E"/>
    <w:rsid w:val="006335A9"/>
    <w:rsid w:val="0064055F"/>
    <w:rsid w:val="00643111"/>
    <w:rsid w:val="006464A9"/>
    <w:rsid w:val="006515DD"/>
    <w:rsid w:val="0065196F"/>
    <w:rsid w:val="0066111E"/>
    <w:rsid w:val="0066182C"/>
    <w:rsid w:val="00662670"/>
    <w:rsid w:val="00664555"/>
    <w:rsid w:val="00670D39"/>
    <w:rsid w:val="00677901"/>
    <w:rsid w:val="006856AD"/>
    <w:rsid w:val="00685AC9"/>
    <w:rsid w:val="00687CA8"/>
    <w:rsid w:val="00697039"/>
    <w:rsid w:val="006A6D62"/>
    <w:rsid w:val="006B1320"/>
    <w:rsid w:val="006B2E18"/>
    <w:rsid w:val="006B39B8"/>
    <w:rsid w:val="006C12E5"/>
    <w:rsid w:val="006C2CF8"/>
    <w:rsid w:val="006C58A8"/>
    <w:rsid w:val="006D2D20"/>
    <w:rsid w:val="006E0570"/>
    <w:rsid w:val="006E4219"/>
    <w:rsid w:val="006E71BB"/>
    <w:rsid w:val="006E7D3F"/>
    <w:rsid w:val="006F3667"/>
    <w:rsid w:val="006F3706"/>
    <w:rsid w:val="006F39DA"/>
    <w:rsid w:val="006F509C"/>
    <w:rsid w:val="006F6A80"/>
    <w:rsid w:val="007000B7"/>
    <w:rsid w:val="00702B34"/>
    <w:rsid w:val="00702D9B"/>
    <w:rsid w:val="0070570D"/>
    <w:rsid w:val="00706556"/>
    <w:rsid w:val="00707998"/>
    <w:rsid w:val="0071218E"/>
    <w:rsid w:val="007131E3"/>
    <w:rsid w:val="00720879"/>
    <w:rsid w:val="00720DF3"/>
    <w:rsid w:val="00721F4A"/>
    <w:rsid w:val="00726397"/>
    <w:rsid w:val="00730391"/>
    <w:rsid w:val="00733030"/>
    <w:rsid w:val="007346DE"/>
    <w:rsid w:val="007418D1"/>
    <w:rsid w:val="00743656"/>
    <w:rsid w:val="007439B6"/>
    <w:rsid w:val="00745953"/>
    <w:rsid w:val="00745A56"/>
    <w:rsid w:val="007477B7"/>
    <w:rsid w:val="00747BFF"/>
    <w:rsid w:val="00747F76"/>
    <w:rsid w:val="0075287E"/>
    <w:rsid w:val="007548C9"/>
    <w:rsid w:val="00755AFE"/>
    <w:rsid w:val="0075640B"/>
    <w:rsid w:val="00762068"/>
    <w:rsid w:val="0076388C"/>
    <w:rsid w:val="00763AE2"/>
    <w:rsid w:val="00764811"/>
    <w:rsid w:val="00764C4E"/>
    <w:rsid w:val="00772128"/>
    <w:rsid w:val="00780AD0"/>
    <w:rsid w:val="00786D1A"/>
    <w:rsid w:val="00790DE8"/>
    <w:rsid w:val="00793C5B"/>
    <w:rsid w:val="00794278"/>
    <w:rsid w:val="00796D25"/>
    <w:rsid w:val="007A4A4E"/>
    <w:rsid w:val="007A4CF1"/>
    <w:rsid w:val="007A6DC5"/>
    <w:rsid w:val="007A76BE"/>
    <w:rsid w:val="007B5428"/>
    <w:rsid w:val="007B5EBE"/>
    <w:rsid w:val="007C17E4"/>
    <w:rsid w:val="007C1BA4"/>
    <w:rsid w:val="007C42EB"/>
    <w:rsid w:val="007D3B36"/>
    <w:rsid w:val="007D4989"/>
    <w:rsid w:val="007D5E5E"/>
    <w:rsid w:val="007E102E"/>
    <w:rsid w:val="007E3203"/>
    <w:rsid w:val="007E49FC"/>
    <w:rsid w:val="007E4D53"/>
    <w:rsid w:val="007E4DA0"/>
    <w:rsid w:val="007E5BC8"/>
    <w:rsid w:val="007E673A"/>
    <w:rsid w:val="007F27B4"/>
    <w:rsid w:val="007F3AA2"/>
    <w:rsid w:val="008062E0"/>
    <w:rsid w:val="00807CEA"/>
    <w:rsid w:val="00807E29"/>
    <w:rsid w:val="00817EEB"/>
    <w:rsid w:val="008208DB"/>
    <w:rsid w:val="008233D1"/>
    <w:rsid w:val="008234DC"/>
    <w:rsid w:val="008301EB"/>
    <w:rsid w:val="0083525F"/>
    <w:rsid w:val="00835FD3"/>
    <w:rsid w:val="008443A1"/>
    <w:rsid w:val="00845912"/>
    <w:rsid w:val="00846442"/>
    <w:rsid w:val="00846825"/>
    <w:rsid w:val="00847933"/>
    <w:rsid w:val="008520DF"/>
    <w:rsid w:val="00853EBF"/>
    <w:rsid w:val="0085584F"/>
    <w:rsid w:val="00857774"/>
    <w:rsid w:val="00861775"/>
    <w:rsid w:val="00861813"/>
    <w:rsid w:val="0087167A"/>
    <w:rsid w:val="008734CB"/>
    <w:rsid w:val="00875AC5"/>
    <w:rsid w:val="00880290"/>
    <w:rsid w:val="00880543"/>
    <w:rsid w:val="00883AA1"/>
    <w:rsid w:val="00885896"/>
    <w:rsid w:val="00885B49"/>
    <w:rsid w:val="008907BC"/>
    <w:rsid w:val="00891933"/>
    <w:rsid w:val="00891EC7"/>
    <w:rsid w:val="00893BCE"/>
    <w:rsid w:val="008944C5"/>
    <w:rsid w:val="008A0BE9"/>
    <w:rsid w:val="008A0E4F"/>
    <w:rsid w:val="008A2BE3"/>
    <w:rsid w:val="008A2D93"/>
    <w:rsid w:val="008A669A"/>
    <w:rsid w:val="008A66BF"/>
    <w:rsid w:val="008B17FD"/>
    <w:rsid w:val="008C4665"/>
    <w:rsid w:val="008C67EA"/>
    <w:rsid w:val="008C7287"/>
    <w:rsid w:val="008C7951"/>
    <w:rsid w:val="008D2F06"/>
    <w:rsid w:val="008D368B"/>
    <w:rsid w:val="008D5817"/>
    <w:rsid w:val="008E3581"/>
    <w:rsid w:val="008E69AC"/>
    <w:rsid w:val="008E7914"/>
    <w:rsid w:val="008F0840"/>
    <w:rsid w:val="008F10B7"/>
    <w:rsid w:val="008F21BA"/>
    <w:rsid w:val="008F2925"/>
    <w:rsid w:val="008F488C"/>
    <w:rsid w:val="008F6602"/>
    <w:rsid w:val="009006A8"/>
    <w:rsid w:val="00900D4B"/>
    <w:rsid w:val="00904DB5"/>
    <w:rsid w:val="00906C69"/>
    <w:rsid w:val="00907041"/>
    <w:rsid w:val="00913F6B"/>
    <w:rsid w:val="0092293A"/>
    <w:rsid w:val="00925E23"/>
    <w:rsid w:val="00932214"/>
    <w:rsid w:val="009409D6"/>
    <w:rsid w:val="00942836"/>
    <w:rsid w:val="00942BD3"/>
    <w:rsid w:val="00945144"/>
    <w:rsid w:val="00945FB5"/>
    <w:rsid w:val="0094729F"/>
    <w:rsid w:val="00951AC1"/>
    <w:rsid w:val="00951CB0"/>
    <w:rsid w:val="00952194"/>
    <w:rsid w:val="00963542"/>
    <w:rsid w:val="0096381A"/>
    <w:rsid w:val="00963ED7"/>
    <w:rsid w:val="00967CF1"/>
    <w:rsid w:val="009704FE"/>
    <w:rsid w:val="00973E5F"/>
    <w:rsid w:val="00975556"/>
    <w:rsid w:val="00982664"/>
    <w:rsid w:val="00985733"/>
    <w:rsid w:val="009A05CF"/>
    <w:rsid w:val="009A19D1"/>
    <w:rsid w:val="009A21D7"/>
    <w:rsid w:val="009A3F54"/>
    <w:rsid w:val="009B328E"/>
    <w:rsid w:val="009B427F"/>
    <w:rsid w:val="009B6CD0"/>
    <w:rsid w:val="009C141E"/>
    <w:rsid w:val="009C4F36"/>
    <w:rsid w:val="009C7F3A"/>
    <w:rsid w:val="009E0905"/>
    <w:rsid w:val="009E29A5"/>
    <w:rsid w:val="009E29B8"/>
    <w:rsid w:val="009E2B66"/>
    <w:rsid w:val="009F2812"/>
    <w:rsid w:val="009F44E9"/>
    <w:rsid w:val="009F49A9"/>
    <w:rsid w:val="009F5183"/>
    <w:rsid w:val="00A03319"/>
    <w:rsid w:val="00A04ADD"/>
    <w:rsid w:val="00A05226"/>
    <w:rsid w:val="00A0645B"/>
    <w:rsid w:val="00A06D2D"/>
    <w:rsid w:val="00A13E4F"/>
    <w:rsid w:val="00A162AE"/>
    <w:rsid w:val="00A20369"/>
    <w:rsid w:val="00A221AC"/>
    <w:rsid w:val="00A224AC"/>
    <w:rsid w:val="00A318F2"/>
    <w:rsid w:val="00A323D4"/>
    <w:rsid w:val="00A37070"/>
    <w:rsid w:val="00A3765F"/>
    <w:rsid w:val="00A51322"/>
    <w:rsid w:val="00A529DD"/>
    <w:rsid w:val="00A56002"/>
    <w:rsid w:val="00A5703D"/>
    <w:rsid w:val="00A618C8"/>
    <w:rsid w:val="00A61DAB"/>
    <w:rsid w:val="00A66049"/>
    <w:rsid w:val="00A6651C"/>
    <w:rsid w:val="00A66EFD"/>
    <w:rsid w:val="00A7128B"/>
    <w:rsid w:val="00A749BD"/>
    <w:rsid w:val="00A758C4"/>
    <w:rsid w:val="00A77027"/>
    <w:rsid w:val="00A77E41"/>
    <w:rsid w:val="00A90761"/>
    <w:rsid w:val="00A95FE6"/>
    <w:rsid w:val="00AA2092"/>
    <w:rsid w:val="00AA365C"/>
    <w:rsid w:val="00AA4FBF"/>
    <w:rsid w:val="00AA68EC"/>
    <w:rsid w:val="00AA700B"/>
    <w:rsid w:val="00AB0AB7"/>
    <w:rsid w:val="00AB5C3D"/>
    <w:rsid w:val="00AC12CB"/>
    <w:rsid w:val="00AC266D"/>
    <w:rsid w:val="00AC31B7"/>
    <w:rsid w:val="00AC55E8"/>
    <w:rsid w:val="00AC66F6"/>
    <w:rsid w:val="00AC7AA2"/>
    <w:rsid w:val="00AD02A7"/>
    <w:rsid w:val="00AD50FD"/>
    <w:rsid w:val="00AE10D0"/>
    <w:rsid w:val="00AE3244"/>
    <w:rsid w:val="00AE389F"/>
    <w:rsid w:val="00AF17D9"/>
    <w:rsid w:val="00AF2701"/>
    <w:rsid w:val="00B06782"/>
    <w:rsid w:val="00B07E51"/>
    <w:rsid w:val="00B11CAD"/>
    <w:rsid w:val="00B12A0E"/>
    <w:rsid w:val="00B140E4"/>
    <w:rsid w:val="00B2057B"/>
    <w:rsid w:val="00B31393"/>
    <w:rsid w:val="00B31C7F"/>
    <w:rsid w:val="00B42C42"/>
    <w:rsid w:val="00B45A0A"/>
    <w:rsid w:val="00B54C0F"/>
    <w:rsid w:val="00B645C8"/>
    <w:rsid w:val="00B656FF"/>
    <w:rsid w:val="00B664A8"/>
    <w:rsid w:val="00B70B38"/>
    <w:rsid w:val="00B74EFB"/>
    <w:rsid w:val="00B752CA"/>
    <w:rsid w:val="00B752D8"/>
    <w:rsid w:val="00B765B3"/>
    <w:rsid w:val="00B77A80"/>
    <w:rsid w:val="00B90A04"/>
    <w:rsid w:val="00B91FDE"/>
    <w:rsid w:val="00B932F6"/>
    <w:rsid w:val="00B94DD8"/>
    <w:rsid w:val="00B95337"/>
    <w:rsid w:val="00BA0A72"/>
    <w:rsid w:val="00BA3D4C"/>
    <w:rsid w:val="00BB0CEB"/>
    <w:rsid w:val="00BB35D8"/>
    <w:rsid w:val="00BB7782"/>
    <w:rsid w:val="00BC08D3"/>
    <w:rsid w:val="00BC0A00"/>
    <w:rsid w:val="00BC6A66"/>
    <w:rsid w:val="00BD2266"/>
    <w:rsid w:val="00BD3CF9"/>
    <w:rsid w:val="00BD5C25"/>
    <w:rsid w:val="00BE2854"/>
    <w:rsid w:val="00BE3FE9"/>
    <w:rsid w:val="00BE7184"/>
    <w:rsid w:val="00BF3418"/>
    <w:rsid w:val="00BF4C6E"/>
    <w:rsid w:val="00BF526C"/>
    <w:rsid w:val="00C07F1E"/>
    <w:rsid w:val="00C14E4E"/>
    <w:rsid w:val="00C160BF"/>
    <w:rsid w:val="00C20B20"/>
    <w:rsid w:val="00C210CC"/>
    <w:rsid w:val="00C242AD"/>
    <w:rsid w:val="00C25E31"/>
    <w:rsid w:val="00C50B56"/>
    <w:rsid w:val="00C50CB1"/>
    <w:rsid w:val="00C51628"/>
    <w:rsid w:val="00C52AD9"/>
    <w:rsid w:val="00C53222"/>
    <w:rsid w:val="00C760AB"/>
    <w:rsid w:val="00C76CF3"/>
    <w:rsid w:val="00C77572"/>
    <w:rsid w:val="00C7772B"/>
    <w:rsid w:val="00C777D7"/>
    <w:rsid w:val="00C80116"/>
    <w:rsid w:val="00C81170"/>
    <w:rsid w:val="00C818E6"/>
    <w:rsid w:val="00C827B6"/>
    <w:rsid w:val="00C82BB5"/>
    <w:rsid w:val="00C86B2F"/>
    <w:rsid w:val="00C94EC0"/>
    <w:rsid w:val="00C9534C"/>
    <w:rsid w:val="00C955E8"/>
    <w:rsid w:val="00C96AC9"/>
    <w:rsid w:val="00CA1472"/>
    <w:rsid w:val="00CA3C30"/>
    <w:rsid w:val="00CA5543"/>
    <w:rsid w:val="00CA7F95"/>
    <w:rsid w:val="00CB3BDD"/>
    <w:rsid w:val="00CC24B3"/>
    <w:rsid w:val="00CC3794"/>
    <w:rsid w:val="00CC5921"/>
    <w:rsid w:val="00CD3239"/>
    <w:rsid w:val="00CD329F"/>
    <w:rsid w:val="00CD507B"/>
    <w:rsid w:val="00CD6A88"/>
    <w:rsid w:val="00CE5158"/>
    <w:rsid w:val="00CE7A27"/>
    <w:rsid w:val="00CF03C2"/>
    <w:rsid w:val="00CF17E4"/>
    <w:rsid w:val="00D0387D"/>
    <w:rsid w:val="00D14AAF"/>
    <w:rsid w:val="00D160B8"/>
    <w:rsid w:val="00D1667F"/>
    <w:rsid w:val="00D177B7"/>
    <w:rsid w:val="00D2118A"/>
    <w:rsid w:val="00D21CCF"/>
    <w:rsid w:val="00D27D89"/>
    <w:rsid w:val="00D3186F"/>
    <w:rsid w:val="00D31B83"/>
    <w:rsid w:val="00D32E53"/>
    <w:rsid w:val="00D33531"/>
    <w:rsid w:val="00D37DAA"/>
    <w:rsid w:val="00D41F98"/>
    <w:rsid w:val="00D42142"/>
    <w:rsid w:val="00D44114"/>
    <w:rsid w:val="00D468CA"/>
    <w:rsid w:val="00D5714F"/>
    <w:rsid w:val="00D63487"/>
    <w:rsid w:val="00D64428"/>
    <w:rsid w:val="00D67945"/>
    <w:rsid w:val="00D701EC"/>
    <w:rsid w:val="00D70BCD"/>
    <w:rsid w:val="00D7253A"/>
    <w:rsid w:val="00D74B7D"/>
    <w:rsid w:val="00D74DC0"/>
    <w:rsid w:val="00D75904"/>
    <w:rsid w:val="00D75B83"/>
    <w:rsid w:val="00D80E22"/>
    <w:rsid w:val="00D81955"/>
    <w:rsid w:val="00D83A14"/>
    <w:rsid w:val="00D84961"/>
    <w:rsid w:val="00D858EA"/>
    <w:rsid w:val="00D8688E"/>
    <w:rsid w:val="00DA09D3"/>
    <w:rsid w:val="00DA1EEA"/>
    <w:rsid w:val="00DA4FC6"/>
    <w:rsid w:val="00DA6BC8"/>
    <w:rsid w:val="00DA6D0B"/>
    <w:rsid w:val="00DA7769"/>
    <w:rsid w:val="00DB0CAB"/>
    <w:rsid w:val="00DB248C"/>
    <w:rsid w:val="00DB2821"/>
    <w:rsid w:val="00DB46ED"/>
    <w:rsid w:val="00DB4A7D"/>
    <w:rsid w:val="00DC2FF2"/>
    <w:rsid w:val="00DC4353"/>
    <w:rsid w:val="00DD52D5"/>
    <w:rsid w:val="00DD71BC"/>
    <w:rsid w:val="00DE06A9"/>
    <w:rsid w:val="00DE3974"/>
    <w:rsid w:val="00DE54C6"/>
    <w:rsid w:val="00DF183C"/>
    <w:rsid w:val="00DF6CAE"/>
    <w:rsid w:val="00E00F16"/>
    <w:rsid w:val="00E12937"/>
    <w:rsid w:val="00E139F2"/>
    <w:rsid w:val="00E1530B"/>
    <w:rsid w:val="00E157CB"/>
    <w:rsid w:val="00E16392"/>
    <w:rsid w:val="00E23CAB"/>
    <w:rsid w:val="00E33763"/>
    <w:rsid w:val="00E37D37"/>
    <w:rsid w:val="00E42F81"/>
    <w:rsid w:val="00E502B8"/>
    <w:rsid w:val="00E50A46"/>
    <w:rsid w:val="00E55C96"/>
    <w:rsid w:val="00E55EB3"/>
    <w:rsid w:val="00E5761E"/>
    <w:rsid w:val="00E57F0F"/>
    <w:rsid w:val="00E65E43"/>
    <w:rsid w:val="00E73A96"/>
    <w:rsid w:val="00E73D16"/>
    <w:rsid w:val="00E75666"/>
    <w:rsid w:val="00E770E6"/>
    <w:rsid w:val="00E849DA"/>
    <w:rsid w:val="00E923C6"/>
    <w:rsid w:val="00E96B1C"/>
    <w:rsid w:val="00EA39FF"/>
    <w:rsid w:val="00EA56D3"/>
    <w:rsid w:val="00EA72D7"/>
    <w:rsid w:val="00EB21E8"/>
    <w:rsid w:val="00EB2C03"/>
    <w:rsid w:val="00EB2F32"/>
    <w:rsid w:val="00EB3D02"/>
    <w:rsid w:val="00EB4E24"/>
    <w:rsid w:val="00EB6801"/>
    <w:rsid w:val="00EB7385"/>
    <w:rsid w:val="00EC08C3"/>
    <w:rsid w:val="00ED0E02"/>
    <w:rsid w:val="00ED3C1A"/>
    <w:rsid w:val="00ED5AD4"/>
    <w:rsid w:val="00ED7838"/>
    <w:rsid w:val="00EF4A61"/>
    <w:rsid w:val="00EF4A79"/>
    <w:rsid w:val="00EF4E00"/>
    <w:rsid w:val="00EF50D0"/>
    <w:rsid w:val="00F0456A"/>
    <w:rsid w:val="00F05A96"/>
    <w:rsid w:val="00F07821"/>
    <w:rsid w:val="00F12F22"/>
    <w:rsid w:val="00F14198"/>
    <w:rsid w:val="00F20ED2"/>
    <w:rsid w:val="00F210C0"/>
    <w:rsid w:val="00F24C79"/>
    <w:rsid w:val="00F24E19"/>
    <w:rsid w:val="00F255AD"/>
    <w:rsid w:val="00F26414"/>
    <w:rsid w:val="00F30C78"/>
    <w:rsid w:val="00F31007"/>
    <w:rsid w:val="00F341CE"/>
    <w:rsid w:val="00F35C07"/>
    <w:rsid w:val="00F421DD"/>
    <w:rsid w:val="00F424A7"/>
    <w:rsid w:val="00F43D4F"/>
    <w:rsid w:val="00F44DE8"/>
    <w:rsid w:val="00F46DCE"/>
    <w:rsid w:val="00F4745A"/>
    <w:rsid w:val="00F47933"/>
    <w:rsid w:val="00F54143"/>
    <w:rsid w:val="00F5574A"/>
    <w:rsid w:val="00F601AE"/>
    <w:rsid w:val="00F63B09"/>
    <w:rsid w:val="00F805AF"/>
    <w:rsid w:val="00F821A9"/>
    <w:rsid w:val="00F8290B"/>
    <w:rsid w:val="00F82C3A"/>
    <w:rsid w:val="00F8512B"/>
    <w:rsid w:val="00F8578D"/>
    <w:rsid w:val="00F8793C"/>
    <w:rsid w:val="00F9416D"/>
    <w:rsid w:val="00F95959"/>
    <w:rsid w:val="00FA007A"/>
    <w:rsid w:val="00FA657D"/>
    <w:rsid w:val="00FB6BDF"/>
    <w:rsid w:val="00FB7C74"/>
    <w:rsid w:val="00FC3DD5"/>
    <w:rsid w:val="00FD229F"/>
    <w:rsid w:val="00FD491A"/>
    <w:rsid w:val="00FD559E"/>
    <w:rsid w:val="00FE081E"/>
    <w:rsid w:val="00FE1496"/>
    <w:rsid w:val="00FE487B"/>
    <w:rsid w:val="00FE7DB4"/>
    <w:rsid w:val="00FF27D0"/>
    <w:rsid w:val="00FF4326"/>
    <w:rsid w:val="00FF6D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9A50FE"/>
  <w15:docId w15:val="{6A1475BD-C89D-4B75-8D55-80EA0B78C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mbria" w:hAnsi="Arial" w:cs="Times New Roman"/>
        <w:lang w:val="en-US" w:eastAsia="en-US" w:bidi="ar-SA"/>
      </w:rPr>
    </w:rPrDefault>
    <w:pPrDefault/>
  </w:docDefaults>
  <w:latentStyles w:defLockedState="1" w:defUIPriority="0" w:defSemiHidden="0" w:defUnhideWhenUsed="0" w:defQFormat="0" w:count="376">
    <w:lsdException w:name="Normal" w:locked="0"/>
    <w:lsdException w:name="heading 1" w:qFormat="1"/>
    <w:lsdException w:name="heading 2" w:locked="0" w:semiHidden="1" w:unhideWhenUsed="1" w:qFormat="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lsdException w:name="annotation text" w:semiHidden="1" w:unhideWhenUsed="1"/>
    <w:lsdException w:name="header" w:semiHidden="1" w:unhideWhenUsed="1"/>
    <w:lsdException w:name="footer" w:locked="0" w:semiHidden="1" w:uiPriority="99" w:unhideWhenUsed="1"/>
    <w:lsdException w:name="index heading" w:semiHidden="1" w:unhideWhenUsed="1"/>
    <w:lsdException w:name="caption" w:locked="0" w:semiHidden="1"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99"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rsid w:val="00583C10"/>
    <w:pPr>
      <w:tabs>
        <w:tab w:val="left" w:pos="720"/>
        <w:tab w:val="left" w:pos="1440"/>
        <w:tab w:val="left" w:pos="2160"/>
        <w:tab w:val="left" w:pos="2880"/>
        <w:tab w:val="left" w:pos="4680"/>
        <w:tab w:val="left" w:pos="5400"/>
        <w:tab w:val="right" w:pos="9000"/>
      </w:tabs>
      <w:spacing w:line="240" w:lineRule="atLeast"/>
    </w:pPr>
    <w:rPr>
      <w:sz w:val="26"/>
    </w:rPr>
  </w:style>
  <w:style w:type="paragraph" w:styleId="Heading1">
    <w:name w:val="heading 1"/>
    <w:next w:val="Normal"/>
    <w:link w:val="Heading1Char"/>
    <w:qFormat/>
    <w:rsid w:val="0066182C"/>
    <w:pPr>
      <w:spacing w:after="120" w:line="640" w:lineRule="exact"/>
      <w:outlineLvl w:val="0"/>
    </w:pPr>
    <w:rPr>
      <w:rFonts w:eastAsia="Times New Roman"/>
      <w:b/>
      <w:sz w:val="44"/>
    </w:rPr>
  </w:style>
  <w:style w:type="paragraph" w:styleId="Heading2">
    <w:name w:val="heading 2"/>
    <w:next w:val="Paragraph"/>
    <w:link w:val="Heading2Char"/>
    <w:unhideWhenUsed/>
    <w:qFormat/>
    <w:rsid w:val="006C2CF8"/>
    <w:pPr>
      <w:keepNext/>
      <w:spacing w:before="180" w:after="120" w:line="400" w:lineRule="exact"/>
      <w:outlineLvl w:val="1"/>
    </w:pPr>
    <w:rPr>
      <w:rFonts w:eastAsia="Times New Roman"/>
      <w:b/>
      <w:sz w:val="30"/>
      <w:lang w:val="en-GB"/>
    </w:rPr>
  </w:style>
  <w:style w:type="paragraph" w:styleId="Heading3">
    <w:name w:val="heading 3"/>
    <w:next w:val="Paragraph"/>
    <w:link w:val="Heading3Char"/>
    <w:unhideWhenUsed/>
    <w:rsid w:val="00AA2092"/>
    <w:pPr>
      <w:spacing w:before="180" w:after="120" w:line="300" w:lineRule="exact"/>
      <w:outlineLvl w:val="2"/>
    </w:pPr>
    <w:rPr>
      <w:rFonts w:eastAsia="Times New Roman"/>
      <w:b/>
      <w:sz w:val="26"/>
      <w:lang w:val="en-GB"/>
    </w:rPr>
  </w:style>
  <w:style w:type="paragraph" w:styleId="Heading4">
    <w:name w:val="heading 4"/>
    <w:basedOn w:val="Normal"/>
    <w:next w:val="Normal"/>
    <w:link w:val="Heading4Char"/>
    <w:semiHidden/>
    <w:unhideWhenUsed/>
    <w:qFormat/>
    <w:locked/>
    <w:rsid w:val="009A21D7"/>
    <w:pPr>
      <w:keepNext/>
      <w:keepLines/>
      <w:spacing w:before="200"/>
      <w:outlineLvl w:val="3"/>
    </w:pPr>
    <w:rPr>
      <w:rFonts w:eastAsiaTheme="majorEastAsia" w:cstheme="majorBidi"/>
      <w:b/>
      <w:bCs/>
      <w:i/>
      <w:iCs/>
    </w:rPr>
  </w:style>
  <w:style w:type="paragraph" w:styleId="Heading5">
    <w:name w:val="heading 5"/>
    <w:basedOn w:val="Normal"/>
    <w:next w:val="Normal"/>
    <w:link w:val="Heading5Char"/>
    <w:semiHidden/>
    <w:unhideWhenUsed/>
    <w:qFormat/>
    <w:locked/>
    <w:rsid w:val="009A21D7"/>
    <w:pPr>
      <w:keepNext/>
      <w:keepLines/>
      <w:spacing w:before="200"/>
      <w:outlineLvl w:val="4"/>
    </w:pPr>
    <w:rPr>
      <w:rFonts w:eastAsiaTheme="majorEastAsia" w:cstheme="majorBidi"/>
      <w:color w:val="000000" w:themeColor="text1"/>
    </w:rPr>
  </w:style>
  <w:style w:type="paragraph" w:styleId="Heading6">
    <w:name w:val="heading 6"/>
    <w:basedOn w:val="Normal"/>
    <w:next w:val="Normal"/>
    <w:link w:val="Heading6Char"/>
    <w:semiHidden/>
    <w:unhideWhenUsed/>
    <w:qFormat/>
    <w:locked/>
    <w:rsid w:val="009A21D7"/>
    <w:pPr>
      <w:keepNext/>
      <w:keepLines/>
      <w:spacing w:before="200"/>
      <w:outlineLvl w:val="5"/>
    </w:pPr>
    <w:rPr>
      <w:rFonts w:eastAsiaTheme="majorEastAsia" w:cstheme="majorBidi"/>
      <w:i/>
      <w:iCs/>
      <w:color w:val="000000" w:themeColor="text1"/>
    </w:rPr>
  </w:style>
  <w:style w:type="paragraph" w:styleId="Heading7">
    <w:name w:val="heading 7"/>
    <w:basedOn w:val="Normal"/>
    <w:next w:val="Normal"/>
    <w:link w:val="Heading7Char"/>
    <w:semiHidden/>
    <w:unhideWhenUsed/>
    <w:qFormat/>
    <w:locked/>
    <w:rsid w:val="009A21D7"/>
    <w:pPr>
      <w:keepNext/>
      <w:keepLines/>
      <w:spacing w:before="200"/>
      <w:outlineLvl w:val="6"/>
    </w:pPr>
    <w:rPr>
      <w:rFonts w:eastAsiaTheme="majorEastAsia" w:cstheme="majorBidi"/>
      <w:i/>
      <w:iCs/>
      <w:color w:val="000000" w:themeColor="text1"/>
    </w:rPr>
  </w:style>
  <w:style w:type="paragraph" w:styleId="Heading8">
    <w:name w:val="heading 8"/>
    <w:basedOn w:val="Normal"/>
    <w:next w:val="Normal"/>
    <w:link w:val="Heading8Char"/>
    <w:semiHidden/>
    <w:unhideWhenUsed/>
    <w:qFormat/>
    <w:locked/>
    <w:rsid w:val="009A21D7"/>
    <w:pPr>
      <w:keepNext/>
      <w:keepLines/>
      <w:spacing w:before="200"/>
      <w:outlineLvl w:val="7"/>
    </w:pPr>
    <w:rPr>
      <w:rFonts w:eastAsiaTheme="majorEastAsia" w:cstheme="majorBidi"/>
      <w:color w:val="000000" w:themeColor="text1"/>
    </w:rPr>
  </w:style>
  <w:style w:type="paragraph" w:styleId="Heading9">
    <w:name w:val="heading 9"/>
    <w:basedOn w:val="Normal"/>
    <w:next w:val="Normal"/>
    <w:link w:val="Heading9Char"/>
    <w:semiHidden/>
    <w:unhideWhenUsed/>
    <w:qFormat/>
    <w:locked/>
    <w:rsid w:val="009A21D7"/>
    <w:pPr>
      <w:keepNext/>
      <w:keepLines/>
      <w:spacing w:before="200"/>
      <w:outlineLvl w:val="8"/>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unhideWhenUsed/>
    <w:rsid w:val="00AA68EC"/>
    <w:pPr>
      <w:spacing w:after="100" w:line="240" w:lineRule="exact"/>
    </w:pPr>
    <w:rPr>
      <w:rFonts w:eastAsia="Calibri"/>
      <w:sz w:val="22"/>
    </w:rPr>
  </w:style>
  <w:style w:type="character" w:customStyle="1" w:styleId="CharChar3">
    <w:name w:val="Char Char3"/>
    <w:semiHidden/>
    <w:locked/>
    <w:rsid w:val="00CD329F"/>
    <w:rPr>
      <w:rFonts w:ascii="Arial" w:hAnsi="Arial"/>
      <w:sz w:val="24"/>
      <w:szCs w:val="24"/>
    </w:rPr>
  </w:style>
  <w:style w:type="character" w:styleId="FootnoteReference">
    <w:name w:val="footnote reference"/>
    <w:uiPriority w:val="99"/>
    <w:unhideWhenUsed/>
    <w:rsid w:val="00AA68EC"/>
    <w:rPr>
      <w:rFonts w:ascii="Arial" w:hAnsi="Arial"/>
      <w:sz w:val="26"/>
      <w:vertAlign w:val="superscript"/>
    </w:rPr>
  </w:style>
  <w:style w:type="paragraph" w:styleId="Caption">
    <w:name w:val="caption"/>
    <w:basedOn w:val="Normal"/>
    <w:next w:val="Normal"/>
    <w:locked/>
    <w:rsid w:val="00073B83"/>
    <w:pPr>
      <w:spacing w:before="120" w:after="120" w:line="276" w:lineRule="auto"/>
    </w:pPr>
    <w:rPr>
      <w:rFonts w:eastAsia="Calibri"/>
      <w:b/>
      <w:sz w:val="22"/>
    </w:rPr>
  </w:style>
  <w:style w:type="character" w:styleId="CommentReference">
    <w:name w:val="annotation reference"/>
    <w:semiHidden/>
    <w:locked/>
    <w:rsid w:val="00073B83"/>
    <w:rPr>
      <w:rFonts w:ascii="Arial" w:hAnsi="Arial"/>
      <w:sz w:val="16"/>
      <w:szCs w:val="16"/>
    </w:rPr>
  </w:style>
  <w:style w:type="character" w:customStyle="1" w:styleId="CharChar2">
    <w:name w:val="Char Char2"/>
    <w:semiHidden/>
    <w:locked/>
    <w:rsid w:val="00CD329F"/>
    <w:rPr>
      <w:rFonts w:ascii="Arial" w:hAnsi="Arial"/>
    </w:rPr>
  </w:style>
  <w:style w:type="paragraph" w:styleId="BalloonText">
    <w:name w:val="Balloon Text"/>
    <w:basedOn w:val="Normal"/>
    <w:locked/>
    <w:rsid w:val="00073B83"/>
    <w:rPr>
      <w:sz w:val="18"/>
    </w:rPr>
  </w:style>
  <w:style w:type="paragraph" w:styleId="Footer">
    <w:name w:val="footer"/>
    <w:basedOn w:val="Normal"/>
    <w:link w:val="FooterChar"/>
    <w:uiPriority w:val="99"/>
    <w:rsid w:val="00073B83"/>
    <w:pPr>
      <w:tabs>
        <w:tab w:val="center" w:pos="4153"/>
        <w:tab w:val="right" w:pos="8306"/>
      </w:tabs>
    </w:pPr>
  </w:style>
  <w:style w:type="character" w:styleId="PageNumber">
    <w:name w:val="page number"/>
    <w:locked/>
    <w:rsid w:val="00073B83"/>
    <w:rPr>
      <w:rFonts w:ascii="Arial" w:hAnsi="Arial"/>
    </w:rPr>
  </w:style>
  <w:style w:type="paragraph" w:customStyle="1" w:styleId="Paragraph">
    <w:name w:val="Paragraph"/>
    <w:link w:val="ParagraphChar"/>
    <w:autoRedefine/>
    <w:qFormat/>
    <w:rsid w:val="0066111E"/>
    <w:pPr>
      <w:spacing w:before="240"/>
    </w:pPr>
    <w:rPr>
      <w:rFonts w:eastAsia="Times New Roman"/>
      <w:noProof/>
      <w:sz w:val="24"/>
      <w:szCs w:val="24"/>
      <w:lang w:val="en-GB"/>
    </w:rPr>
  </w:style>
  <w:style w:type="paragraph" w:customStyle="1" w:styleId="SGNumbered">
    <w:name w:val="SG Numbered"/>
    <w:autoRedefine/>
    <w:qFormat/>
    <w:rsid w:val="00A06D2D"/>
    <w:pPr>
      <w:numPr>
        <w:numId w:val="2"/>
      </w:numPr>
      <w:spacing w:after="120" w:line="300" w:lineRule="exact"/>
      <w:ind w:left="714" w:hanging="357"/>
    </w:pPr>
    <w:rPr>
      <w:rFonts w:eastAsia="Times New Roman"/>
      <w:sz w:val="26"/>
      <w:lang w:val="en-GB"/>
    </w:rPr>
  </w:style>
  <w:style w:type="paragraph" w:customStyle="1" w:styleId="SGBullet">
    <w:name w:val="SG Bullet"/>
    <w:autoRedefine/>
    <w:qFormat/>
    <w:rsid w:val="00407994"/>
    <w:pPr>
      <w:spacing w:after="120" w:line="300" w:lineRule="exact"/>
      <w:ind w:left="640"/>
    </w:pPr>
    <w:rPr>
      <w:rFonts w:eastAsia="Times New Roman"/>
      <w:sz w:val="26"/>
      <w:lang w:val="en-GB"/>
    </w:rPr>
  </w:style>
  <w:style w:type="table" w:styleId="Table3Deffects2">
    <w:name w:val="Table 3D effects 2"/>
    <w:basedOn w:val="TableNormal"/>
    <w:locked/>
    <w:rsid w:val="004009E7"/>
    <w:pPr>
      <w:tabs>
        <w:tab w:val="left" w:pos="720"/>
        <w:tab w:val="left" w:pos="1440"/>
        <w:tab w:val="left" w:pos="2160"/>
        <w:tab w:val="left" w:pos="2880"/>
        <w:tab w:val="left" w:pos="4680"/>
        <w:tab w:val="left" w:pos="5400"/>
        <w:tab w:val="right" w:pos="9000"/>
      </w:tabs>
      <w:spacing w:line="24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locked/>
    <w:rsid w:val="004009E7"/>
    <w:pPr>
      <w:tabs>
        <w:tab w:val="left" w:pos="720"/>
        <w:tab w:val="left" w:pos="1440"/>
        <w:tab w:val="left" w:pos="2160"/>
        <w:tab w:val="left" w:pos="2880"/>
        <w:tab w:val="left" w:pos="4680"/>
        <w:tab w:val="left" w:pos="5400"/>
        <w:tab w:val="right" w:pos="9000"/>
      </w:tabs>
      <w:spacing w:line="24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ExecSummaryBodyText">
    <w:name w:val="Exec Summary Body Text"/>
    <w:basedOn w:val="Normal"/>
    <w:semiHidden/>
    <w:locked/>
    <w:rsid w:val="00CD329F"/>
    <w:pPr>
      <w:numPr>
        <w:numId w:val="1"/>
      </w:numPr>
      <w:tabs>
        <w:tab w:val="num" w:pos="360"/>
      </w:tabs>
      <w:spacing w:after="240"/>
      <w:ind w:left="0" w:firstLine="0"/>
    </w:pPr>
  </w:style>
  <w:style w:type="character" w:styleId="Hyperlink">
    <w:name w:val="Hyperlink"/>
    <w:basedOn w:val="DefaultParagraphFont"/>
    <w:uiPriority w:val="99"/>
    <w:rsid w:val="00E5761E"/>
    <w:rPr>
      <w:rFonts w:ascii="Arial" w:hAnsi="Arial"/>
      <w:color w:val="0000FF" w:themeColor="hyperlink"/>
      <w:u w:val="single"/>
    </w:rPr>
  </w:style>
  <w:style w:type="table" w:styleId="TableGrid">
    <w:name w:val="Table Grid"/>
    <w:aliases w:val="SG Table 1"/>
    <w:basedOn w:val="TableNormal"/>
    <w:rsid w:val="00BE718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42" w:type="dxa"/>
        <w:left w:w="142" w:type="dxa"/>
        <w:bottom w:w="142" w:type="dxa"/>
        <w:right w:w="142" w:type="dxa"/>
      </w:tblCellMar>
    </w:tblPr>
  </w:style>
  <w:style w:type="paragraph" w:styleId="Header">
    <w:name w:val="header"/>
    <w:basedOn w:val="Normal"/>
    <w:link w:val="HeaderChar"/>
    <w:rsid w:val="00E5761E"/>
    <w:pPr>
      <w:tabs>
        <w:tab w:val="clear" w:pos="720"/>
        <w:tab w:val="clear" w:pos="1440"/>
        <w:tab w:val="clear" w:pos="2160"/>
        <w:tab w:val="clear" w:pos="2880"/>
        <w:tab w:val="clear" w:pos="4680"/>
        <w:tab w:val="clear" w:pos="5400"/>
        <w:tab w:val="clear" w:pos="9000"/>
        <w:tab w:val="center" w:pos="4513"/>
        <w:tab w:val="right" w:pos="9026"/>
      </w:tabs>
      <w:spacing w:line="240" w:lineRule="auto"/>
    </w:pPr>
  </w:style>
  <w:style w:type="character" w:customStyle="1" w:styleId="SGBoldCharacter">
    <w:name w:val="SG Bold (Character)"/>
    <w:basedOn w:val="DefaultParagraphFont"/>
    <w:uiPriority w:val="1"/>
    <w:qFormat/>
    <w:rsid w:val="00CB3BDD"/>
    <w:rPr>
      <w:rFonts w:ascii="Arial" w:hAnsi="Arial"/>
      <w:b/>
    </w:rPr>
  </w:style>
  <w:style w:type="character" w:customStyle="1" w:styleId="SGItalicCharacter">
    <w:name w:val="SG Italic (Character)"/>
    <w:uiPriority w:val="1"/>
    <w:rsid w:val="004A1C5D"/>
    <w:rPr>
      <w:rFonts w:ascii="Arial" w:hAnsi="Arial"/>
      <w:b w:val="0"/>
      <w:i/>
    </w:rPr>
  </w:style>
  <w:style w:type="character" w:customStyle="1" w:styleId="SGBoldItalicCharacter">
    <w:name w:val="SG Bold Italic (Character)"/>
    <w:basedOn w:val="SGItalicCharacter"/>
    <w:uiPriority w:val="1"/>
    <w:rsid w:val="004A1C5D"/>
    <w:rPr>
      <w:rFonts w:ascii="Arial" w:hAnsi="Arial"/>
      <w:b/>
      <w:i/>
    </w:rPr>
  </w:style>
  <w:style w:type="character" w:customStyle="1" w:styleId="HeaderChar">
    <w:name w:val="Header Char"/>
    <w:basedOn w:val="DefaultParagraphFont"/>
    <w:link w:val="Header"/>
    <w:rsid w:val="00E5761E"/>
    <w:rPr>
      <w:rFonts w:ascii="Arial" w:eastAsia="Times New Roman" w:hAnsi="Arial"/>
      <w:sz w:val="24"/>
      <w:lang w:val="en-GB"/>
    </w:rPr>
  </w:style>
  <w:style w:type="paragraph" w:customStyle="1" w:styleId="SGBodyIndent">
    <w:name w:val="SG Body Indent"/>
    <w:rsid w:val="00AA68EC"/>
    <w:pPr>
      <w:spacing w:after="300" w:line="300" w:lineRule="exact"/>
      <w:ind w:left="284"/>
    </w:pPr>
    <w:rPr>
      <w:rFonts w:eastAsia="Times New Roman"/>
      <w:sz w:val="26"/>
      <w:lang w:val="en-GB"/>
    </w:rPr>
  </w:style>
  <w:style w:type="paragraph" w:styleId="NormalWeb">
    <w:name w:val="Normal (Web)"/>
    <w:basedOn w:val="Normal"/>
    <w:uiPriority w:val="99"/>
    <w:locked/>
    <w:rsid w:val="00E5761E"/>
    <w:rPr>
      <w:szCs w:val="24"/>
    </w:rPr>
  </w:style>
  <w:style w:type="table" w:customStyle="1" w:styleId="SGTable2">
    <w:name w:val="SG Table 2"/>
    <w:basedOn w:val="TableNormal"/>
    <w:uiPriority w:val="99"/>
    <w:qFormat/>
    <w:rsid w:val="00BE718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42" w:type="dxa"/>
        <w:left w:w="142" w:type="dxa"/>
        <w:bottom w:w="142" w:type="dxa"/>
        <w:right w:w="142" w:type="dxa"/>
      </w:tblCellMar>
    </w:tblPr>
    <w:tcPr>
      <w:shd w:val="clear" w:color="auto" w:fill="BFBFBF" w:themeFill="background1" w:themeFillShade="BF"/>
    </w:tcPr>
    <w:tblStylePr w:type="firstRow">
      <w:rPr>
        <w:color w:val="000000" w:themeColor="text1"/>
      </w:rPr>
      <w:tblPr/>
      <w:tcPr>
        <w:shd w:val="clear" w:color="auto" w:fill="A6A6A6" w:themeFill="background1" w:themeFillShade="A6"/>
      </w:tcPr>
    </w:tblStylePr>
    <w:tblStylePr w:type="lastRow">
      <w:tblPr/>
      <w:tcPr>
        <w:shd w:val="clear" w:color="auto" w:fill="BFBFBF" w:themeFill="background1" w:themeFillShade="BF"/>
      </w:tcPr>
    </w:tblStylePr>
    <w:tblStylePr w:type="firstCol">
      <w:tblPr/>
      <w:tcPr>
        <w:shd w:val="clear" w:color="auto" w:fill="BFBFBF" w:themeFill="background1" w:themeFillShade="BF"/>
      </w:tcPr>
    </w:tblStylePr>
    <w:tblStylePr w:type="lastCol">
      <w:rPr>
        <w:rFonts w:ascii="Arial" w:hAnsi="Arial"/>
        <w:sz w:val="20"/>
      </w:rPr>
      <w:tblPr/>
      <w:tcPr>
        <w:shd w:val="clear" w:color="auto" w:fill="BFBFBF" w:themeFill="background1"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SGTableHeader">
    <w:name w:val="SG Table Header"/>
    <w:qFormat/>
    <w:rsid w:val="00AA68EC"/>
    <w:pPr>
      <w:spacing w:line="240" w:lineRule="exact"/>
    </w:pPr>
    <w:rPr>
      <w:rFonts w:eastAsia="Times New Roman"/>
      <w:b/>
      <w:sz w:val="22"/>
      <w:lang w:val="en-GB"/>
    </w:rPr>
  </w:style>
  <w:style w:type="paragraph" w:customStyle="1" w:styleId="SGTableText">
    <w:name w:val="SG Table Text"/>
    <w:qFormat/>
    <w:rsid w:val="00AA68EC"/>
    <w:pPr>
      <w:spacing w:line="240" w:lineRule="exact"/>
    </w:pPr>
    <w:rPr>
      <w:rFonts w:eastAsia="Times New Roman"/>
      <w:sz w:val="22"/>
      <w:lang w:val="en-GB"/>
    </w:rPr>
  </w:style>
  <w:style w:type="character" w:customStyle="1" w:styleId="Clearbold">
    <w:name w:val="Clear bold"/>
    <w:aliases w:val="italic &amp; bolditalic"/>
    <w:basedOn w:val="DefaultParagraphFont"/>
    <w:uiPriority w:val="1"/>
    <w:rsid w:val="00CD3239"/>
    <w:rPr>
      <w:rFonts w:ascii="Arial" w:hAnsi="Arial"/>
    </w:rPr>
  </w:style>
  <w:style w:type="paragraph" w:customStyle="1" w:styleId="SGboxtext">
    <w:name w:val="SG box text"/>
    <w:basedOn w:val="Paragraph"/>
    <w:rsid w:val="002F0E89"/>
    <w:pPr>
      <w:pBdr>
        <w:top w:val="single" w:sz="4" w:space="4" w:color="000000" w:themeColor="text1"/>
        <w:left w:val="single" w:sz="4" w:space="4" w:color="000000" w:themeColor="text1"/>
        <w:bottom w:val="single" w:sz="4" w:space="4" w:color="000000" w:themeColor="text1"/>
        <w:right w:val="single" w:sz="4" w:space="4" w:color="000000" w:themeColor="text1"/>
      </w:pBdr>
    </w:pPr>
    <w:rPr>
      <w:b/>
    </w:rPr>
  </w:style>
  <w:style w:type="paragraph" w:customStyle="1" w:styleId="SGRightItalic">
    <w:name w:val="SG Right Italic"/>
    <w:basedOn w:val="SGboxtext"/>
    <w:rsid w:val="00AA68EC"/>
    <w:pPr>
      <w:pBdr>
        <w:top w:val="none" w:sz="0" w:space="0" w:color="auto"/>
        <w:left w:val="none" w:sz="0" w:space="0" w:color="auto"/>
        <w:bottom w:val="none" w:sz="0" w:space="0" w:color="auto"/>
        <w:right w:val="none" w:sz="0" w:space="0" w:color="auto"/>
      </w:pBdr>
      <w:jc w:val="right"/>
    </w:pPr>
    <w:rPr>
      <w:i/>
    </w:rPr>
  </w:style>
  <w:style w:type="paragraph" w:customStyle="1" w:styleId="SGRightBold">
    <w:name w:val="SG Right Bold"/>
    <w:basedOn w:val="Paragraph"/>
    <w:rsid w:val="00AA68EC"/>
    <w:pPr>
      <w:jc w:val="right"/>
    </w:pPr>
    <w:rPr>
      <w:b/>
    </w:rPr>
  </w:style>
  <w:style w:type="paragraph" w:customStyle="1" w:styleId="SGBoxtextShaded">
    <w:name w:val="SG Box text Shaded"/>
    <w:basedOn w:val="SGboxtext"/>
    <w:rsid w:val="00687CA8"/>
    <w:pPr>
      <w:shd w:val="clear" w:color="auto" w:fill="CCE0DF"/>
    </w:pPr>
  </w:style>
  <w:style w:type="character" w:customStyle="1" w:styleId="Heading1Char">
    <w:name w:val="Heading 1 Char"/>
    <w:basedOn w:val="DefaultParagraphFont"/>
    <w:link w:val="Heading1"/>
    <w:rsid w:val="0066182C"/>
    <w:rPr>
      <w:rFonts w:eastAsia="Times New Roman"/>
      <w:b/>
      <w:sz w:val="44"/>
    </w:rPr>
  </w:style>
  <w:style w:type="paragraph" w:styleId="TOC1">
    <w:name w:val="toc 1"/>
    <w:aliases w:val="SG TOC 1"/>
    <w:basedOn w:val="Normal"/>
    <w:next w:val="Normal"/>
    <w:autoRedefine/>
    <w:uiPriority w:val="39"/>
    <w:rsid w:val="00885896"/>
    <w:pPr>
      <w:tabs>
        <w:tab w:val="clear" w:pos="720"/>
        <w:tab w:val="clear" w:pos="1440"/>
        <w:tab w:val="clear" w:pos="2160"/>
        <w:tab w:val="clear" w:pos="2880"/>
        <w:tab w:val="clear" w:pos="4680"/>
        <w:tab w:val="clear" w:pos="5400"/>
        <w:tab w:val="clear" w:pos="9000"/>
        <w:tab w:val="right" w:leader="dot" w:pos="9639"/>
      </w:tabs>
      <w:spacing w:after="100" w:line="300" w:lineRule="atLeast"/>
    </w:pPr>
    <w:rPr>
      <w:b/>
      <w:noProof/>
    </w:rPr>
  </w:style>
  <w:style w:type="paragraph" w:styleId="TOC2">
    <w:name w:val="toc 2"/>
    <w:aliases w:val="SG TOC 2"/>
    <w:basedOn w:val="Normal"/>
    <w:next w:val="Normal"/>
    <w:autoRedefine/>
    <w:uiPriority w:val="39"/>
    <w:rsid w:val="00885896"/>
    <w:pPr>
      <w:tabs>
        <w:tab w:val="clear" w:pos="720"/>
        <w:tab w:val="clear" w:pos="1440"/>
        <w:tab w:val="clear" w:pos="2160"/>
        <w:tab w:val="clear" w:pos="2880"/>
        <w:tab w:val="clear" w:pos="4680"/>
        <w:tab w:val="clear" w:pos="5400"/>
        <w:tab w:val="clear" w:pos="9000"/>
        <w:tab w:val="right" w:leader="dot" w:pos="9639"/>
      </w:tabs>
      <w:spacing w:after="100" w:line="300" w:lineRule="atLeast"/>
      <w:ind w:left="284"/>
    </w:pPr>
  </w:style>
  <w:style w:type="paragraph" w:styleId="TOC3">
    <w:name w:val="toc 3"/>
    <w:aliases w:val="SG TOC 3"/>
    <w:basedOn w:val="TOC1"/>
    <w:next w:val="Normal"/>
    <w:autoRedefine/>
    <w:uiPriority w:val="39"/>
    <w:rsid w:val="00D21CCF"/>
    <w:pPr>
      <w:spacing w:after="120" w:line="300" w:lineRule="exact"/>
      <w:ind w:left="567"/>
    </w:pPr>
    <w:rPr>
      <w:b w:val="0"/>
      <w:color w:val="000000" w:themeColor="text1"/>
    </w:rPr>
  </w:style>
  <w:style w:type="paragraph" w:styleId="Index1">
    <w:name w:val="index 1"/>
    <w:basedOn w:val="Normal"/>
    <w:next w:val="Normal"/>
    <w:autoRedefine/>
    <w:rsid w:val="00AA68EC"/>
    <w:pPr>
      <w:tabs>
        <w:tab w:val="clear" w:pos="720"/>
        <w:tab w:val="clear" w:pos="1440"/>
        <w:tab w:val="clear" w:pos="2160"/>
        <w:tab w:val="clear" w:pos="2880"/>
        <w:tab w:val="clear" w:pos="4680"/>
        <w:tab w:val="clear" w:pos="5400"/>
        <w:tab w:val="clear" w:pos="9000"/>
      </w:tabs>
      <w:spacing w:line="300" w:lineRule="exact"/>
      <w:ind w:left="198" w:hanging="198"/>
    </w:pPr>
  </w:style>
  <w:style w:type="paragraph" w:styleId="Index2">
    <w:name w:val="index 2"/>
    <w:basedOn w:val="Normal"/>
    <w:next w:val="Normal"/>
    <w:autoRedefine/>
    <w:rsid w:val="00AA68EC"/>
    <w:pPr>
      <w:tabs>
        <w:tab w:val="clear" w:pos="720"/>
        <w:tab w:val="clear" w:pos="1440"/>
        <w:tab w:val="clear" w:pos="2160"/>
        <w:tab w:val="clear" w:pos="2880"/>
        <w:tab w:val="clear" w:pos="4680"/>
        <w:tab w:val="clear" w:pos="5400"/>
        <w:tab w:val="clear" w:pos="9000"/>
      </w:tabs>
      <w:spacing w:line="300" w:lineRule="exact"/>
      <w:ind w:left="396" w:hanging="198"/>
    </w:pPr>
  </w:style>
  <w:style w:type="paragraph" w:styleId="Index3">
    <w:name w:val="index 3"/>
    <w:basedOn w:val="Normal"/>
    <w:next w:val="Normal"/>
    <w:autoRedefine/>
    <w:rsid w:val="00AA68EC"/>
    <w:pPr>
      <w:tabs>
        <w:tab w:val="clear" w:pos="720"/>
        <w:tab w:val="clear" w:pos="1440"/>
        <w:tab w:val="clear" w:pos="2160"/>
        <w:tab w:val="clear" w:pos="2880"/>
        <w:tab w:val="clear" w:pos="4680"/>
        <w:tab w:val="clear" w:pos="5400"/>
        <w:tab w:val="clear" w:pos="9000"/>
      </w:tabs>
      <w:spacing w:line="300" w:lineRule="exact"/>
      <w:ind w:left="601" w:hanging="198"/>
    </w:pPr>
  </w:style>
  <w:style w:type="paragraph" w:styleId="Index4">
    <w:name w:val="index 4"/>
    <w:basedOn w:val="Normal"/>
    <w:next w:val="Normal"/>
    <w:autoRedefine/>
    <w:rsid w:val="00AA68EC"/>
    <w:pPr>
      <w:tabs>
        <w:tab w:val="clear" w:pos="720"/>
        <w:tab w:val="clear" w:pos="1440"/>
        <w:tab w:val="clear" w:pos="2160"/>
        <w:tab w:val="clear" w:pos="2880"/>
        <w:tab w:val="clear" w:pos="4680"/>
        <w:tab w:val="clear" w:pos="5400"/>
        <w:tab w:val="clear" w:pos="9000"/>
      </w:tabs>
      <w:spacing w:line="240" w:lineRule="auto"/>
      <w:ind w:left="800" w:hanging="200"/>
    </w:pPr>
  </w:style>
  <w:style w:type="character" w:customStyle="1" w:styleId="Heading2Char">
    <w:name w:val="Heading 2 Char"/>
    <w:basedOn w:val="DefaultParagraphFont"/>
    <w:link w:val="Heading2"/>
    <w:rsid w:val="006C2CF8"/>
    <w:rPr>
      <w:rFonts w:eastAsia="Times New Roman"/>
      <w:b/>
      <w:sz w:val="30"/>
      <w:lang w:val="en-GB"/>
    </w:rPr>
  </w:style>
  <w:style w:type="character" w:customStyle="1" w:styleId="Heading3Char">
    <w:name w:val="Heading 3 Char"/>
    <w:basedOn w:val="DefaultParagraphFont"/>
    <w:link w:val="Heading3"/>
    <w:rsid w:val="00AA2092"/>
    <w:rPr>
      <w:rFonts w:eastAsia="Times New Roman"/>
      <w:b/>
      <w:sz w:val="26"/>
      <w:lang w:val="en-GB"/>
    </w:rPr>
  </w:style>
  <w:style w:type="character" w:customStyle="1" w:styleId="Heading4Char">
    <w:name w:val="Heading 4 Char"/>
    <w:basedOn w:val="DefaultParagraphFont"/>
    <w:link w:val="Heading4"/>
    <w:semiHidden/>
    <w:rsid w:val="009A21D7"/>
    <w:rPr>
      <w:rFonts w:eastAsiaTheme="majorEastAsia" w:cstheme="majorBidi"/>
      <w:b/>
      <w:bCs/>
      <w:i/>
      <w:iCs/>
    </w:rPr>
  </w:style>
  <w:style w:type="character" w:customStyle="1" w:styleId="Heading5Char">
    <w:name w:val="Heading 5 Char"/>
    <w:basedOn w:val="DefaultParagraphFont"/>
    <w:link w:val="Heading5"/>
    <w:semiHidden/>
    <w:rsid w:val="009A21D7"/>
    <w:rPr>
      <w:rFonts w:eastAsiaTheme="majorEastAsia" w:cstheme="majorBidi"/>
      <w:color w:val="000000" w:themeColor="text1"/>
    </w:rPr>
  </w:style>
  <w:style w:type="character" w:customStyle="1" w:styleId="Heading6Char">
    <w:name w:val="Heading 6 Char"/>
    <w:basedOn w:val="DefaultParagraphFont"/>
    <w:link w:val="Heading6"/>
    <w:semiHidden/>
    <w:rsid w:val="009A21D7"/>
    <w:rPr>
      <w:rFonts w:eastAsiaTheme="majorEastAsia" w:cstheme="majorBidi"/>
      <w:i/>
      <w:iCs/>
      <w:color w:val="000000" w:themeColor="text1"/>
    </w:rPr>
  </w:style>
  <w:style w:type="character" w:customStyle="1" w:styleId="Heading7Char">
    <w:name w:val="Heading 7 Char"/>
    <w:basedOn w:val="DefaultParagraphFont"/>
    <w:link w:val="Heading7"/>
    <w:semiHidden/>
    <w:rsid w:val="009A21D7"/>
    <w:rPr>
      <w:rFonts w:eastAsiaTheme="majorEastAsia" w:cstheme="majorBidi"/>
      <w:i/>
      <w:iCs/>
      <w:color w:val="000000" w:themeColor="text1"/>
    </w:rPr>
  </w:style>
  <w:style w:type="character" w:customStyle="1" w:styleId="Heading8Char">
    <w:name w:val="Heading 8 Char"/>
    <w:basedOn w:val="DefaultParagraphFont"/>
    <w:link w:val="Heading8"/>
    <w:semiHidden/>
    <w:rsid w:val="009A21D7"/>
    <w:rPr>
      <w:rFonts w:eastAsiaTheme="majorEastAsia" w:cstheme="majorBidi"/>
      <w:color w:val="000000" w:themeColor="text1"/>
    </w:rPr>
  </w:style>
  <w:style w:type="character" w:customStyle="1" w:styleId="Heading9Char">
    <w:name w:val="Heading 9 Char"/>
    <w:basedOn w:val="DefaultParagraphFont"/>
    <w:link w:val="Heading9"/>
    <w:semiHidden/>
    <w:rsid w:val="009A21D7"/>
    <w:rPr>
      <w:rFonts w:eastAsiaTheme="majorEastAsia" w:cstheme="majorBidi"/>
      <w:i/>
      <w:iCs/>
      <w:color w:val="000000" w:themeColor="text1"/>
    </w:rPr>
  </w:style>
  <w:style w:type="paragraph" w:styleId="ListParagraph">
    <w:name w:val="List Paragraph"/>
    <w:basedOn w:val="Normal"/>
    <w:uiPriority w:val="34"/>
    <w:qFormat/>
    <w:locked/>
    <w:rsid w:val="0062349D"/>
    <w:pPr>
      <w:ind w:left="720"/>
      <w:contextualSpacing/>
    </w:pPr>
  </w:style>
  <w:style w:type="paragraph" w:customStyle="1" w:styleId="Heading1green">
    <w:name w:val="Heading 1 green"/>
    <w:basedOn w:val="Heading1"/>
    <w:rsid w:val="0012726C"/>
    <w:rPr>
      <w:color w:val="006561"/>
    </w:rPr>
  </w:style>
  <w:style w:type="paragraph" w:customStyle="1" w:styleId="Heading2green">
    <w:name w:val="Heading 2 green"/>
    <w:basedOn w:val="Heading2"/>
    <w:next w:val="Paragraph"/>
    <w:rsid w:val="0012726C"/>
    <w:rPr>
      <w:color w:val="006561"/>
    </w:rPr>
  </w:style>
  <w:style w:type="paragraph" w:customStyle="1" w:styleId="Heading3green">
    <w:name w:val="Heading 3 green"/>
    <w:basedOn w:val="Heading3"/>
    <w:next w:val="Paragraph"/>
    <w:rsid w:val="0012726C"/>
    <w:rPr>
      <w:color w:val="006561"/>
    </w:rPr>
  </w:style>
  <w:style w:type="paragraph" w:styleId="TOCHeading">
    <w:name w:val="TOC Heading"/>
    <w:basedOn w:val="Heading3green"/>
    <w:next w:val="Normal"/>
    <w:uiPriority w:val="39"/>
    <w:unhideWhenUsed/>
    <w:qFormat/>
    <w:locked/>
    <w:rsid w:val="00A06D2D"/>
    <w:pPr>
      <w:keepNext/>
      <w:keepLines/>
      <w:spacing w:before="480" w:line="276" w:lineRule="auto"/>
      <w:outlineLvl w:val="9"/>
    </w:pPr>
    <w:rPr>
      <w:rFonts w:eastAsiaTheme="majorEastAsia" w:cstheme="majorBidi"/>
      <w:bCs/>
      <w:color w:val="auto"/>
      <w:sz w:val="28"/>
      <w:szCs w:val="28"/>
      <w:lang w:eastAsia="ja-JP"/>
    </w:rPr>
  </w:style>
  <w:style w:type="paragraph" w:customStyle="1" w:styleId="SGTablebullets">
    <w:name w:val="SG Table bullets"/>
    <w:basedOn w:val="Normal"/>
    <w:qFormat/>
    <w:rsid w:val="00D63487"/>
    <w:pPr>
      <w:numPr>
        <w:numId w:val="3"/>
      </w:numPr>
      <w:tabs>
        <w:tab w:val="clear" w:pos="720"/>
        <w:tab w:val="clear" w:pos="1440"/>
        <w:tab w:val="clear" w:pos="2160"/>
        <w:tab w:val="clear" w:pos="2880"/>
        <w:tab w:val="clear" w:pos="4680"/>
        <w:tab w:val="clear" w:pos="5400"/>
        <w:tab w:val="clear" w:pos="9000"/>
      </w:tabs>
      <w:spacing w:after="40" w:line="240" w:lineRule="exact"/>
      <w:ind w:left="288" w:hanging="288"/>
    </w:pPr>
    <w:rPr>
      <w:rFonts w:eastAsia="Times New Roman"/>
      <w:sz w:val="20"/>
      <w:lang w:val="en-GB"/>
    </w:rPr>
  </w:style>
  <w:style w:type="character" w:styleId="PlaceholderText">
    <w:name w:val="Placeholder Text"/>
    <w:basedOn w:val="DefaultParagraphFont"/>
    <w:uiPriority w:val="99"/>
    <w:semiHidden/>
    <w:locked/>
    <w:rsid w:val="006C2CF8"/>
    <w:rPr>
      <w:color w:val="808080"/>
    </w:rPr>
  </w:style>
  <w:style w:type="paragraph" w:customStyle="1" w:styleId="SGGraphTableTitle">
    <w:name w:val="SG Graph/Table Title"/>
    <w:basedOn w:val="Normal"/>
    <w:next w:val="Paragraph"/>
    <w:rsid w:val="00583C10"/>
    <w:pPr>
      <w:keepNext/>
      <w:spacing w:before="120" w:after="120"/>
    </w:pPr>
  </w:style>
  <w:style w:type="paragraph" w:customStyle="1" w:styleId="SGTableBody1">
    <w:name w:val="SG Table Body 1"/>
    <w:basedOn w:val="Normal"/>
    <w:rsid w:val="00687CA8"/>
    <w:pPr>
      <w:jc w:val="both"/>
    </w:pPr>
    <w:rPr>
      <w:rFonts w:cs="Arial"/>
      <w:sz w:val="20"/>
      <w:szCs w:val="18"/>
    </w:rPr>
  </w:style>
  <w:style w:type="paragraph" w:customStyle="1" w:styleId="SGTableTitle1">
    <w:name w:val="SG Table Title 1"/>
    <w:basedOn w:val="Normal"/>
    <w:rsid w:val="00AD50FD"/>
    <w:rPr>
      <w:rFonts w:cs="Arial"/>
      <w:b/>
      <w:color w:val="FFFFFF" w:themeColor="background1"/>
      <w:sz w:val="18"/>
      <w:szCs w:val="18"/>
    </w:rPr>
  </w:style>
  <w:style w:type="paragraph" w:customStyle="1" w:styleId="SGCentredCharacter">
    <w:name w:val="SG Centred (Character)"/>
    <w:basedOn w:val="SGTableBody1"/>
    <w:rsid w:val="00AD50FD"/>
    <w:pPr>
      <w:jc w:val="center"/>
    </w:pPr>
  </w:style>
  <w:style w:type="table" w:customStyle="1" w:styleId="SGTableStyle1">
    <w:name w:val="SG Table Style 1"/>
    <w:basedOn w:val="TableNormal"/>
    <w:uiPriority w:val="99"/>
    <w:rsid w:val="00745A56"/>
    <w:rPr>
      <w:sz w:val="18"/>
    </w:rPr>
    <w:tblPr>
      <w:tblStyleRowBandSize w:val="1"/>
      <w:tblBorders>
        <w:top w:val="single" w:sz="4" w:space="0" w:color="auto"/>
        <w:bottom w:val="single" w:sz="4" w:space="0" w:color="auto"/>
        <w:insideH w:val="single" w:sz="4" w:space="0" w:color="auto"/>
      </w:tblBorders>
      <w:tblCellMar>
        <w:top w:w="113" w:type="dxa"/>
        <w:bottom w:w="113" w:type="dxa"/>
      </w:tblCellMar>
    </w:tblPr>
    <w:tblStylePr w:type="firstRow">
      <w:pPr>
        <w:wordWrap/>
        <w:spacing w:beforeLines="0" w:before="60" w:beforeAutospacing="0" w:afterLines="0" w:after="60" w:afterAutospacing="0"/>
        <w:jc w:val="left"/>
      </w:pPr>
      <w:rPr>
        <w:rFonts w:ascii="Arial" w:hAnsi="Arial"/>
        <w:color w:val="auto"/>
        <w:sz w:val="18"/>
      </w:rPr>
      <w:tblPr/>
      <w:tcPr>
        <w:shd w:val="clear" w:color="auto" w:fill="EEECE1" w:themeFill="background2"/>
      </w:tcPr>
    </w:tblStylePr>
  </w:style>
  <w:style w:type="paragraph" w:customStyle="1" w:styleId="SGTableHeading1">
    <w:name w:val="SG Table Heading 1"/>
    <w:basedOn w:val="Normal"/>
    <w:rsid w:val="00687CA8"/>
    <w:pPr>
      <w:jc w:val="right"/>
    </w:pPr>
    <w:rPr>
      <w:rFonts w:cs="Arial"/>
      <w:b/>
      <w:sz w:val="20"/>
      <w:szCs w:val="18"/>
    </w:rPr>
  </w:style>
  <w:style w:type="character" w:customStyle="1" w:styleId="FooterChar">
    <w:name w:val="Footer Char"/>
    <w:basedOn w:val="DefaultParagraphFont"/>
    <w:link w:val="Footer"/>
    <w:uiPriority w:val="99"/>
    <w:rsid w:val="00DA6D0B"/>
    <w:rPr>
      <w:sz w:val="26"/>
    </w:rPr>
  </w:style>
  <w:style w:type="character" w:styleId="BookTitle">
    <w:name w:val="Book Title"/>
    <w:aliases w:val="Front Title"/>
    <w:basedOn w:val="DefaultParagraphFont"/>
    <w:uiPriority w:val="33"/>
    <w:locked/>
    <w:rsid w:val="00A06D2D"/>
    <w:rPr>
      <w:rFonts w:ascii="Arial" w:hAnsi="Arial"/>
      <w:b/>
      <w:bCs/>
      <w:i w:val="0"/>
      <w:iCs/>
      <w:spacing w:val="5"/>
      <w:sz w:val="44"/>
    </w:rPr>
  </w:style>
  <w:style w:type="paragraph" w:styleId="Title">
    <w:name w:val="Title"/>
    <w:basedOn w:val="Normal"/>
    <w:next w:val="Normal"/>
    <w:link w:val="TitleChar"/>
    <w:qFormat/>
    <w:locked/>
    <w:rsid w:val="00762068"/>
    <w:pPr>
      <w:spacing w:line="240" w:lineRule="auto"/>
      <w:contextualSpacing/>
    </w:pPr>
    <w:rPr>
      <w:rFonts w:eastAsiaTheme="majorEastAsia" w:cstheme="majorBidi"/>
      <w:b/>
      <w:spacing w:val="-10"/>
      <w:kern w:val="28"/>
      <w:sz w:val="72"/>
      <w:szCs w:val="56"/>
    </w:rPr>
  </w:style>
  <w:style w:type="character" w:customStyle="1" w:styleId="TitleChar">
    <w:name w:val="Title Char"/>
    <w:basedOn w:val="DefaultParagraphFont"/>
    <w:link w:val="Title"/>
    <w:rsid w:val="00762068"/>
    <w:rPr>
      <w:rFonts w:eastAsiaTheme="majorEastAsia" w:cstheme="majorBidi"/>
      <w:b/>
      <w:spacing w:val="-10"/>
      <w:kern w:val="28"/>
      <w:sz w:val="72"/>
      <w:szCs w:val="56"/>
    </w:rPr>
  </w:style>
  <w:style w:type="paragraph" w:customStyle="1" w:styleId="FigureCaption">
    <w:name w:val="Figure Caption"/>
    <w:basedOn w:val="Paragraph"/>
    <w:link w:val="FigureCaptionChar"/>
    <w:qFormat/>
    <w:rsid w:val="00071CB6"/>
  </w:style>
  <w:style w:type="paragraph" w:customStyle="1" w:styleId="TableCaption">
    <w:name w:val="Table Caption"/>
    <w:basedOn w:val="FigureCaption"/>
    <w:link w:val="TableCaptionChar"/>
    <w:qFormat/>
    <w:rsid w:val="00BB0CEB"/>
  </w:style>
  <w:style w:type="character" w:customStyle="1" w:styleId="ParagraphChar">
    <w:name w:val="Paragraph Char"/>
    <w:basedOn w:val="DefaultParagraphFont"/>
    <w:link w:val="Paragraph"/>
    <w:rsid w:val="0066111E"/>
    <w:rPr>
      <w:rFonts w:eastAsia="Times New Roman"/>
      <w:noProof/>
      <w:sz w:val="24"/>
      <w:szCs w:val="24"/>
      <w:lang w:val="en-GB"/>
    </w:rPr>
  </w:style>
  <w:style w:type="character" w:customStyle="1" w:styleId="FigureCaptionChar">
    <w:name w:val="Figure Caption Char"/>
    <w:basedOn w:val="ParagraphChar"/>
    <w:link w:val="FigureCaption"/>
    <w:rsid w:val="00071CB6"/>
    <w:rPr>
      <w:rFonts w:eastAsia="Times New Roman"/>
      <w:noProof/>
      <w:sz w:val="26"/>
      <w:szCs w:val="24"/>
      <w:lang w:val="en-GB"/>
    </w:rPr>
  </w:style>
  <w:style w:type="character" w:customStyle="1" w:styleId="TableCaptionChar">
    <w:name w:val="Table Caption Char"/>
    <w:basedOn w:val="FigureCaptionChar"/>
    <w:link w:val="TableCaption"/>
    <w:rsid w:val="00BB0CEB"/>
    <w:rPr>
      <w:rFonts w:eastAsia="Times New Roman"/>
      <w:noProof/>
      <w:sz w:val="26"/>
      <w:szCs w:val="24"/>
      <w:lang w:val="en-GB"/>
    </w:rPr>
  </w:style>
  <w:style w:type="character" w:styleId="FollowedHyperlink">
    <w:name w:val="FollowedHyperlink"/>
    <w:basedOn w:val="DefaultParagraphFont"/>
    <w:semiHidden/>
    <w:unhideWhenUsed/>
    <w:locked/>
    <w:rsid w:val="005D248C"/>
    <w:rPr>
      <w:color w:val="800080" w:themeColor="followedHyperlink"/>
      <w:u w:val="single"/>
    </w:rPr>
  </w:style>
  <w:style w:type="paragraph" w:styleId="Subtitle">
    <w:name w:val="Subtitle"/>
    <w:basedOn w:val="Normal"/>
    <w:next w:val="Normal"/>
    <w:link w:val="SubtitleChar"/>
    <w:uiPriority w:val="11"/>
    <w:qFormat/>
    <w:locked/>
    <w:rsid w:val="00DA6BC8"/>
    <w:pPr>
      <w:numPr>
        <w:ilvl w:val="1"/>
      </w:numPr>
      <w:tabs>
        <w:tab w:val="clear" w:pos="720"/>
        <w:tab w:val="clear" w:pos="1440"/>
        <w:tab w:val="clear" w:pos="2160"/>
        <w:tab w:val="clear" w:pos="2880"/>
        <w:tab w:val="clear" w:pos="4680"/>
        <w:tab w:val="clear" w:pos="5400"/>
        <w:tab w:val="clear" w:pos="9000"/>
      </w:tabs>
      <w:spacing w:after="160" w:line="240" w:lineRule="auto"/>
    </w:pPr>
    <w:rPr>
      <w:rFonts w:eastAsiaTheme="minorEastAsia" w:cstheme="minorBidi"/>
      <w:sz w:val="48"/>
      <w:szCs w:val="22"/>
      <w:lang w:val="en-GB"/>
    </w:rPr>
  </w:style>
  <w:style w:type="character" w:customStyle="1" w:styleId="SubtitleChar">
    <w:name w:val="Subtitle Char"/>
    <w:basedOn w:val="DefaultParagraphFont"/>
    <w:link w:val="Subtitle"/>
    <w:uiPriority w:val="11"/>
    <w:rsid w:val="00DA6BC8"/>
    <w:rPr>
      <w:rFonts w:eastAsiaTheme="minorEastAsia" w:cstheme="minorBidi"/>
      <w:sz w:val="48"/>
      <w:szCs w:val="22"/>
      <w:lang w:val="en-GB"/>
    </w:rPr>
  </w:style>
  <w:style w:type="character" w:customStyle="1" w:styleId="FootnoteTextChar">
    <w:name w:val="Footnote Text Char"/>
    <w:basedOn w:val="DefaultParagraphFont"/>
    <w:link w:val="FootnoteText"/>
    <w:rsid w:val="00AC66F6"/>
    <w:rPr>
      <w:rFonts w:eastAsia="Calibri"/>
      <w:sz w:val="22"/>
    </w:rPr>
  </w:style>
  <w:style w:type="paragraph" w:styleId="CommentText">
    <w:name w:val="annotation text"/>
    <w:basedOn w:val="Normal"/>
    <w:link w:val="CommentTextChar"/>
    <w:unhideWhenUsed/>
    <w:locked/>
    <w:rsid w:val="0092293A"/>
    <w:pPr>
      <w:spacing w:line="240" w:lineRule="auto"/>
    </w:pPr>
    <w:rPr>
      <w:sz w:val="20"/>
    </w:rPr>
  </w:style>
  <w:style w:type="character" w:customStyle="1" w:styleId="CommentTextChar">
    <w:name w:val="Comment Text Char"/>
    <w:basedOn w:val="DefaultParagraphFont"/>
    <w:link w:val="CommentText"/>
    <w:rsid w:val="0092293A"/>
  </w:style>
  <w:style w:type="paragraph" w:styleId="CommentSubject">
    <w:name w:val="annotation subject"/>
    <w:basedOn w:val="CommentText"/>
    <w:next w:val="CommentText"/>
    <w:link w:val="CommentSubjectChar"/>
    <w:semiHidden/>
    <w:unhideWhenUsed/>
    <w:locked/>
    <w:rsid w:val="0092293A"/>
    <w:rPr>
      <w:b/>
      <w:bCs/>
    </w:rPr>
  </w:style>
  <w:style w:type="character" w:customStyle="1" w:styleId="CommentSubjectChar">
    <w:name w:val="Comment Subject Char"/>
    <w:basedOn w:val="CommentTextChar"/>
    <w:link w:val="CommentSubject"/>
    <w:semiHidden/>
    <w:rsid w:val="0092293A"/>
    <w:rPr>
      <w:b/>
      <w:bCs/>
    </w:rPr>
  </w:style>
  <w:style w:type="paragraph" w:styleId="Revision">
    <w:name w:val="Revision"/>
    <w:hidden/>
    <w:uiPriority w:val="99"/>
    <w:semiHidden/>
    <w:rsid w:val="00A749BD"/>
    <w:rPr>
      <w:sz w:val="26"/>
    </w:rPr>
  </w:style>
  <w:style w:type="character" w:customStyle="1" w:styleId="UnresolvedMention1">
    <w:name w:val="Unresolved Mention1"/>
    <w:basedOn w:val="DefaultParagraphFont"/>
    <w:uiPriority w:val="99"/>
    <w:semiHidden/>
    <w:unhideWhenUsed/>
    <w:rsid w:val="00CA1472"/>
    <w:rPr>
      <w:color w:val="605E5C"/>
      <w:shd w:val="clear" w:color="auto" w:fill="E1DFDD"/>
    </w:rPr>
  </w:style>
  <w:style w:type="paragraph" w:customStyle="1" w:styleId="pf0">
    <w:name w:val="pf0"/>
    <w:basedOn w:val="Normal"/>
    <w:rsid w:val="00DA09D3"/>
    <w:pPr>
      <w:tabs>
        <w:tab w:val="clear" w:pos="720"/>
        <w:tab w:val="clear" w:pos="1440"/>
        <w:tab w:val="clear" w:pos="2160"/>
        <w:tab w:val="clear" w:pos="2880"/>
        <w:tab w:val="clear" w:pos="4680"/>
        <w:tab w:val="clear" w:pos="5400"/>
        <w:tab w:val="clear" w:pos="9000"/>
      </w:tabs>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cf01">
    <w:name w:val="cf01"/>
    <w:basedOn w:val="DefaultParagraphFont"/>
    <w:rsid w:val="00DA09D3"/>
    <w:rPr>
      <w:rFonts w:ascii="Segoe UI" w:hAnsi="Segoe UI" w:cs="Segoe UI" w:hint="default"/>
      <w:sz w:val="18"/>
      <w:szCs w:val="18"/>
    </w:rPr>
  </w:style>
  <w:style w:type="character" w:customStyle="1" w:styleId="cf11">
    <w:name w:val="cf11"/>
    <w:basedOn w:val="DefaultParagraphFont"/>
    <w:rsid w:val="00DA09D3"/>
    <w:rPr>
      <w:rFonts w:ascii="Segoe UI" w:hAnsi="Segoe UI" w:cs="Segoe UI" w:hint="default"/>
      <w:color w:val="44546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02947">
      <w:bodyDiv w:val="1"/>
      <w:marLeft w:val="0"/>
      <w:marRight w:val="0"/>
      <w:marTop w:val="0"/>
      <w:marBottom w:val="0"/>
      <w:divBdr>
        <w:top w:val="none" w:sz="0" w:space="0" w:color="auto"/>
        <w:left w:val="none" w:sz="0" w:space="0" w:color="auto"/>
        <w:bottom w:val="none" w:sz="0" w:space="0" w:color="auto"/>
        <w:right w:val="none" w:sz="0" w:space="0" w:color="auto"/>
      </w:divBdr>
    </w:div>
    <w:div w:id="122699140">
      <w:bodyDiv w:val="1"/>
      <w:marLeft w:val="0"/>
      <w:marRight w:val="0"/>
      <w:marTop w:val="0"/>
      <w:marBottom w:val="0"/>
      <w:divBdr>
        <w:top w:val="none" w:sz="0" w:space="0" w:color="auto"/>
        <w:left w:val="none" w:sz="0" w:space="0" w:color="auto"/>
        <w:bottom w:val="none" w:sz="0" w:space="0" w:color="auto"/>
        <w:right w:val="none" w:sz="0" w:space="0" w:color="auto"/>
      </w:divBdr>
    </w:div>
    <w:div w:id="194735456">
      <w:bodyDiv w:val="1"/>
      <w:marLeft w:val="0"/>
      <w:marRight w:val="0"/>
      <w:marTop w:val="0"/>
      <w:marBottom w:val="0"/>
      <w:divBdr>
        <w:top w:val="none" w:sz="0" w:space="0" w:color="auto"/>
        <w:left w:val="none" w:sz="0" w:space="0" w:color="auto"/>
        <w:bottom w:val="none" w:sz="0" w:space="0" w:color="auto"/>
        <w:right w:val="none" w:sz="0" w:space="0" w:color="auto"/>
      </w:divBdr>
    </w:div>
    <w:div w:id="355616998">
      <w:bodyDiv w:val="1"/>
      <w:marLeft w:val="0"/>
      <w:marRight w:val="0"/>
      <w:marTop w:val="0"/>
      <w:marBottom w:val="0"/>
      <w:divBdr>
        <w:top w:val="none" w:sz="0" w:space="0" w:color="auto"/>
        <w:left w:val="none" w:sz="0" w:space="0" w:color="auto"/>
        <w:bottom w:val="none" w:sz="0" w:space="0" w:color="auto"/>
        <w:right w:val="none" w:sz="0" w:space="0" w:color="auto"/>
      </w:divBdr>
    </w:div>
    <w:div w:id="427891858">
      <w:bodyDiv w:val="1"/>
      <w:marLeft w:val="0"/>
      <w:marRight w:val="0"/>
      <w:marTop w:val="0"/>
      <w:marBottom w:val="0"/>
      <w:divBdr>
        <w:top w:val="none" w:sz="0" w:space="0" w:color="auto"/>
        <w:left w:val="none" w:sz="0" w:space="0" w:color="auto"/>
        <w:bottom w:val="none" w:sz="0" w:space="0" w:color="auto"/>
        <w:right w:val="none" w:sz="0" w:space="0" w:color="auto"/>
      </w:divBdr>
    </w:div>
    <w:div w:id="531504086">
      <w:bodyDiv w:val="1"/>
      <w:marLeft w:val="0"/>
      <w:marRight w:val="0"/>
      <w:marTop w:val="0"/>
      <w:marBottom w:val="0"/>
      <w:divBdr>
        <w:top w:val="none" w:sz="0" w:space="0" w:color="auto"/>
        <w:left w:val="none" w:sz="0" w:space="0" w:color="auto"/>
        <w:bottom w:val="none" w:sz="0" w:space="0" w:color="auto"/>
        <w:right w:val="none" w:sz="0" w:space="0" w:color="auto"/>
      </w:divBdr>
    </w:div>
    <w:div w:id="639967047">
      <w:bodyDiv w:val="1"/>
      <w:marLeft w:val="0"/>
      <w:marRight w:val="0"/>
      <w:marTop w:val="0"/>
      <w:marBottom w:val="0"/>
      <w:divBdr>
        <w:top w:val="none" w:sz="0" w:space="0" w:color="auto"/>
        <w:left w:val="none" w:sz="0" w:space="0" w:color="auto"/>
        <w:bottom w:val="none" w:sz="0" w:space="0" w:color="auto"/>
        <w:right w:val="none" w:sz="0" w:space="0" w:color="auto"/>
      </w:divBdr>
    </w:div>
    <w:div w:id="640816394">
      <w:bodyDiv w:val="1"/>
      <w:marLeft w:val="0"/>
      <w:marRight w:val="0"/>
      <w:marTop w:val="0"/>
      <w:marBottom w:val="0"/>
      <w:divBdr>
        <w:top w:val="none" w:sz="0" w:space="0" w:color="auto"/>
        <w:left w:val="none" w:sz="0" w:space="0" w:color="auto"/>
        <w:bottom w:val="none" w:sz="0" w:space="0" w:color="auto"/>
        <w:right w:val="none" w:sz="0" w:space="0" w:color="auto"/>
      </w:divBdr>
    </w:div>
    <w:div w:id="663749660">
      <w:bodyDiv w:val="1"/>
      <w:marLeft w:val="0"/>
      <w:marRight w:val="0"/>
      <w:marTop w:val="0"/>
      <w:marBottom w:val="0"/>
      <w:divBdr>
        <w:top w:val="none" w:sz="0" w:space="0" w:color="auto"/>
        <w:left w:val="none" w:sz="0" w:space="0" w:color="auto"/>
        <w:bottom w:val="none" w:sz="0" w:space="0" w:color="auto"/>
        <w:right w:val="none" w:sz="0" w:space="0" w:color="auto"/>
      </w:divBdr>
    </w:div>
    <w:div w:id="679039743">
      <w:bodyDiv w:val="1"/>
      <w:marLeft w:val="0"/>
      <w:marRight w:val="0"/>
      <w:marTop w:val="0"/>
      <w:marBottom w:val="0"/>
      <w:divBdr>
        <w:top w:val="none" w:sz="0" w:space="0" w:color="auto"/>
        <w:left w:val="none" w:sz="0" w:space="0" w:color="auto"/>
        <w:bottom w:val="none" w:sz="0" w:space="0" w:color="auto"/>
        <w:right w:val="none" w:sz="0" w:space="0" w:color="auto"/>
      </w:divBdr>
    </w:div>
    <w:div w:id="682392596">
      <w:bodyDiv w:val="1"/>
      <w:marLeft w:val="0"/>
      <w:marRight w:val="0"/>
      <w:marTop w:val="0"/>
      <w:marBottom w:val="0"/>
      <w:divBdr>
        <w:top w:val="none" w:sz="0" w:space="0" w:color="auto"/>
        <w:left w:val="none" w:sz="0" w:space="0" w:color="auto"/>
        <w:bottom w:val="none" w:sz="0" w:space="0" w:color="auto"/>
        <w:right w:val="none" w:sz="0" w:space="0" w:color="auto"/>
      </w:divBdr>
    </w:div>
    <w:div w:id="1128427376">
      <w:bodyDiv w:val="1"/>
      <w:marLeft w:val="0"/>
      <w:marRight w:val="0"/>
      <w:marTop w:val="0"/>
      <w:marBottom w:val="0"/>
      <w:divBdr>
        <w:top w:val="none" w:sz="0" w:space="0" w:color="auto"/>
        <w:left w:val="none" w:sz="0" w:space="0" w:color="auto"/>
        <w:bottom w:val="none" w:sz="0" w:space="0" w:color="auto"/>
        <w:right w:val="none" w:sz="0" w:space="0" w:color="auto"/>
      </w:divBdr>
    </w:div>
    <w:div w:id="1183934910">
      <w:bodyDiv w:val="1"/>
      <w:marLeft w:val="0"/>
      <w:marRight w:val="0"/>
      <w:marTop w:val="0"/>
      <w:marBottom w:val="0"/>
      <w:divBdr>
        <w:top w:val="none" w:sz="0" w:space="0" w:color="auto"/>
        <w:left w:val="none" w:sz="0" w:space="0" w:color="auto"/>
        <w:bottom w:val="none" w:sz="0" w:space="0" w:color="auto"/>
        <w:right w:val="none" w:sz="0" w:space="0" w:color="auto"/>
      </w:divBdr>
    </w:div>
    <w:div w:id="1289163866">
      <w:bodyDiv w:val="1"/>
      <w:marLeft w:val="0"/>
      <w:marRight w:val="0"/>
      <w:marTop w:val="0"/>
      <w:marBottom w:val="0"/>
      <w:divBdr>
        <w:top w:val="none" w:sz="0" w:space="0" w:color="auto"/>
        <w:left w:val="none" w:sz="0" w:space="0" w:color="auto"/>
        <w:bottom w:val="none" w:sz="0" w:space="0" w:color="auto"/>
        <w:right w:val="none" w:sz="0" w:space="0" w:color="auto"/>
      </w:divBdr>
    </w:div>
    <w:div w:id="1326857059">
      <w:bodyDiv w:val="1"/>
      <w:marLeft w:val="0"/>
      <w:marRight w:val="0"/>
      <w:marTop w:val="0"/>
      <w:marBottom w:val="0"/>
      <w:divBdr>
        <w:top w:val="none" w:sz="0" w:space="0" w:color="auto"/>
        <w:left w:val="none" w:sz="0" w:space="0" w:color="auto"/>
        <w:bottom w:val="none" w:sz="0" w:space="0" w:color="auto"/>
        <w:right w:val="none" w:sz="0" w:space="0" w:color="auto"/>
      </w:divBdr>
    </w:div>
    <w:div w:id="1343556733">
      <w:bodyDiv w:val="1"/>
      <w:marLeft w:val="0"/>
      <w:marRight w:val="0"/>
      <w:marTop w:val="0"/>
      <w:marBottom w:val="0"/>
      <w:divBdr>
        <w:top w:val="none" w:sz="0" w:space="0" w:color="auto"/>
        <w:left w:val="none" w:sz="0" w:space="0" w:color="auto"/>
        <w:bottom w:val="none" w:sz="0" w:space="0" w:color="auto"/>
        <w:right w:val="none" w:sz="0" w:space="0" w:color="auto"/>
      </w:divBdr>
    </w:div>
    <w:div w:id="1468090340">
      <w:bodyDiv w:val="1"/>
      <w:marLeft w:val="0"/>
      <w:marRight w:val="0"/>
      <w:marTop w:val="0"/>
      <w:marBottom w:val="0"/>
      <w:divBdr>
        <w:top w:val="none" w:sz="0" w:space="0" w:color="auto"/>
        <w:left w:val="none" w:sz="0" w:space="0" w:color="auto"/>
        <w:bottom w:val="none" w:sz="0" w:space="0" w:color="auto"/>
        <w:right w:val="none" w:sz="0" w:space="0" w:color="auto"/>
      </w:divBdr>
    </w:div>
    <w:div w:id="1472596807">
      <w:bodyDiv w:val="1"/>
      <w:marLeft w:val="0"/>
      <w:marRight w:val="0"/>
      <w:marTop w:val="0"/>
      <w:marBottom w:val="0"/>
      <w:divBdr>
        <w:top w:val="none" w:sz="0" w:space="0" w:color="auto"/>
        <w:left w:val="none" w:sz="0" w:space="0" w:color="auto"/>
        <w:bottom w:val="none" w:sz="0" w:space="0" w:color="auto"/>
        <w:right w:val="none" w:sz="0" w:space="0" w:color="auto"/>
      </w:divBdr>
    </w:div>
    <w:div w:id="1476026838">
      <w:bodyDiv w:val="1"/>
      <w:marLeft w:val="0"/>
      <w:marRight w:val="0"/>
      <w:marTop w:val="0"/>
      <w:marBottom w:val="0"/>
      <w:divBdr>
        <w:top w:val="none" w:sz="0" w:space="0" w:color="auto"/>
        <w:left w:val="none" w:sz="0" w:space="0" w:color="auto"/>
        <w:bottom w:val="none" w:sz="0" w:space="0" w:color="auto"/>
        <w:right w:val="none" w:sz="0" w:space="0" w:color="auto"/>
      </w:divBdr>
    </w:div>
    <w:div w:id="1707557074">
      <w:bodyDiv w:val="1"/>
      <w:marLeft w:val="0"/>
      <w:marRight w:val="0"/>
      <w:marTop w:val="0"/>
      <w:marBottom w:val="0"/>
      <w:divBdr>
        <w:top w:val="none" w:sz="0" w:space="0" w:color="auto"/>
        <w:left w:val="none" w:sz="0" w:space="0" w:color="auto"/>
        <w:bottom w:val="none" w:sz="0" w:space="0" w:color="auto"/>
        <w:right w:val="none" w:sz="0" w:space="0" w:color="auto"/>
      </w:divBdr>
    </w:div>
    <w:div w:id="1862159946">
      <w:bodyDiv w:val="1"/>
      <w:marLeft w:val="0"/>
      <w:marRight w:val="0"/>
      <w:marTop w:val="0"/>
      <w:marBottom w:val="0"/>
      <w:divBdr>
        <w:top w:val="none" w:sz="0" w:space="0" w:color="auto"/>
        <w:left w:val="none" w:sz="0" w:space="0" w:color="auto"/>
        <w:bottom w:val="none" w:sz="0" w:space="0" w:color="auto"/>
        <w:right w:val="none" w:sz="0" w:space="0" w:color="auto"/>
      </w:divBdr>
    </w:div>
    <w:div w:id="1874880763">
      <w:bodyDiv w:val="1"/>
      <w:marLeft w:val="0"/>
      <w:marRight w:val="0"/>
      <w:marTop w:val="0"/>
      <w:marBottom w:val="0"/>
      <w:divBdr>
        <w:top w:val="none" w:sz="0" w:space="0" w:color="auto"/>
        <w:left w:val="none" w:sz="0" w:space="0" w:color="auto"/>
        <w:bottom w:val="none" w:sz="0" w:space="0" w:color="auto"/>
        <w:right w:val="none" w:sz="0" w:space="0" w:color="auto"/>
      </w:divBdr>
    </w:div>
    <w:div w:id="1935164780">
      <w:bodyDiv w:val="1"/>
      <w:marLeft w:val="0"/>
      <w:marRight w:val="0"/>
      <w:marTop w:val="0"/>
      <w:marBottom w:val="0"/>
      <w:divBdr>
        <w:top w:val="none" w:sz="0" w:space="0" w:color="auto"/>
        <w:left w:val="none" w:sz="0" w:space="0" w:color="auto"/>
        <w:bottom w:val="none" w:sz="0" w:space="0" w:color="auto"/>
        <w:right w:val="none" w:sz="0" w:space="0" w:color="auto"/>
      </w:divBdr>
    </w:div>
    <w:div w:id="2026320970">
      <w:bodyDiv w:val="1"/>
      <w:marLeft w:val="0"/>
      <w:marRight w:val="0"/>
      <w:marTop w:val="0"/>
      <w:marBottom w:val="0"/>
      <w:divBdr>
        <w:top w:val="none" w:sz="0" w:space="0" w:color="auto"/>
        <w:left w:val="none" w:sz="0" w:space="0" w:color="auto"/>
        <w:bottom w:val="none" w:sz="0" w:space="0" w:color="auto"/>
        <w:right w:val="none" w:sz="0" w:space="0" w:color="auto"/>
      </w:divBdr>
    </w:div>
    <w:div w:id="2037458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7.png" Id="rId26" /><Relationship Type="http://schemas.openxmlformats.org/officeDocument/2006/relationships/image" Target="media/image12.svg" Id="rId21" /><Relationship Type="http://schemas.openxmlformats.org/officeDocument/2006/relationships/image" Target="media/image31.svg" Id="rId42" /><Relationship Type="http://schemas.openxmlformats.org/officeDocument/2006/relationships/image" Target="media/image36.png" Id="rId47" /><Relationship Type="http://schemas.openxmlformats.org/officeDocument/2006/relationships/image" Target="media/image52.png" Id="rId63" /><Relationship Type="http://schemas.openxmlformats.org/officeDocument/2006/relationships/image" Target="media/image57.svg" Id="rId68" /><Relationship Type="http://schemas.openxmlformats.org/officeDocument/2006/relationships/image" Target="media/image73.svg" Id="rId84" /><Relationship Type="http://schemas.openxmlformats.org/officeDocument/2006/relationships/footer" Target="footer1.xml" Id="rId89" /><Relationship Type="http://schemas.openxmlformats.org/officeDocument/2006/relationships/image" Target="media/image7.png" Id="rId16" /><Relationship Type="http://schemas.openxmlformats.org/officeDocument/2006/relationships/image" Target="media/image2.svg" Id="rId11" /><Relationship Type="http://schemas.openxmlformats.org/officeDocument/2006/relationships/image" Target="media/image23.png" Id="rId32" /><Relationship Type="http://schemas.openxmlformats.org/officeDocument/2006/relationships/image" Target="media/image26.png" Id="rId37" /><Relationship Type="http://schemas.openxmlformats.org/officeDocument/2006/relationships/image" Target="media/image42.png" Id="rId53" /><Relationship Type="http://schemas.openxmlformats.org/officeDocument/2006/relationships/image" Target="media/image47.svg" Id="rId58" /><Relationship Type="http://schemas.openxmlformats.org/officeDocument/2006/relationships/image" Target="media/image63.svg" Id="rId74" /><Relationship Type="http://schemas.openxmlformats.org/officeDocument/2006/relationships/image" Target="media/image68.png" Id="rId79" /><Relationship Type="http://schemas.openxmlformats.org/officeDocument/2006/relationships/styles" Target="styles.xml" Id="rId5" /><Relationship Type="http://schemas.openxmlformats.org/officeDocument/2006/relationships/fontTable" Target="fontTable.xml" Id="rId90"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image" Target="media/image18.svg" Id="rId27" /><Relationship Type="http://schemas.openxmlformats.org/officeDocument/2006/relationships/image" Target="media/image21.png" Id="rId30" /><Relationship Type="http://schemas.openxmlformats.org/officeDocument/2006/relationships/image" Target="media/image24.png" Id="rId35" /><Relationship Type="http://schemas.openxmlformats.org/officeDocument/2006/relationships/image" Target="media/image32.png" Id="rId43" /><Relationship Type="http://schemas.openxmlformats.org/officeDocument/2006/relationships/image" Target="media/image37.svg" Id="rId48" /><Relationship Type="http://schemas.openxmlformats.org/officeDocument/2006/relationships/image" Target="media/image45.svg" Id="rId56" /><Relationship Type="http://schemas.openxmlformats.org/officeDocument/2006/relationships/image" Target="media/image53.svg" Id="rId64" /><Relationship Type="http://schemas.openxmlformats.org/officeDocument/2006/relationships/image" Target="media/image58.png" Id="rId69" /><Relationship Type="http://schemas.openxmlformats.org/officeDocument/2006/relationships/image" Target="media/image66.png" Id="rId77" /><Relationship Type="http://schemas.openxmlformats.org/officeDocument/2006/relationships/footnotes" Target="footnotes.xml" Id="rId8" /><Relationship Type="http://schemas.openxmlformats.org/officeDocument/2006/relationships/image" Target="media/image40.png" Id="rId51" /><Relationship Type="http://schemas.openxmlformats.org/officeDocument/2006/relationships/image" Target="media/image61.svg" Id="rId72" /><Relationship Type="http://schemas.openxmlformats.org/officeDocument/2006/relationships/image" Target="media/image69.svg" Id="rId80" /><Relationship Type="http://schemas.openxmlformats.org/officeDocument/2006/relationships/image" Target="media/image74.png" Id="rId85" /><Relationship Type="http://schemas.openxmlformats.org/officeDocument/2006/relationships/image" Target="media/image3.png" Id="rId12" /><Relationship Type="http://schemas.openxmlformats.org/officeDocument/2006/relationships/image" Target="media/image8.svg" Id="rId17" /><Relationship Type="http://schemas.openxmlformats.org/officeDocument/2006/relationships/image" Target="media/image16.svg" Id="rId25" /><Relationship Type="http://schemas.openxmlformats.org/officeDocument/2006/relationships/hyperlink" Target="http://www.legislation.gov.uk/asp/2019/10" TargetMode="External" Id="rId33" /><Relationship Type="http://schemas.openxmlformats.org/officeDocument/2006/relationships/image" Target="media/image27.svg" Id="rId38" /><Relationship Type="http://schemas.openxmlformats.org/officeDocument/2006/relationships/image" Target="media/image35.svg" Id="rId46" /><Relationship Type="http://schemas.openxmlformats.org/officeDocument/2006/relationships/image" Target="media/image48.png" Id="rId59" /><Relationship Type="http://schemas.openxmlformats.org/officeDocument/2006/relationships/image" Target="media/image56.png" Id="rId67" /><Relationship Type="http://schemas.openxmlformats.org/officeDocument/2006/relationships/image" Target="media/image11.png" Id="rId20" /><Relationship Type="http://schemas.openxmlformats.org/officeDocument/2006/relationships/image" Target="media/image30.png" Id="rId41" /><Relationship Type="http://schemas.openxmlformats.org/officeDocument/2006/relationships/image" Target="media/image43.svg" Id="rId54" /><Relationship Type="http://schemas.openxmlformats.org/officeDocument/2006/relationships/image" Target="media/image51.svg" Id="rId62" /><Relationship Type="http://schemas.openxmlformats.org/officeDocument/2006/relationships/image" Target="media/image59.svg" Id="rId70" /><Relationship Type="http://schemas.openxmlformats.org/officeDocument/2006/relationships/image" Target="media/image64.png" Id="rId75" /><Relationship Type="http://schemas.openxmlformats.org/officeDocument/2006/relationships/image" Target="media/image72.png" Id="rId83" /><Relationship Type="http://schemas.openxmlformats.org/officeDocument/2006/relationships/image" Target="media/image77.svg" Id="rId88" /><Relationship Type="http://schemas.openxmlformats.org/officeDocument/2006/relationships/theme" Target="theme/theme1.xml" Id="rId91" /><Relationship Type="http://schemas.microsoft.com/office/2006/relationships/keyMapCustomizations" Target="customizations.xml" Id="rId1" /><Relationship Type="http://schemas.openxmlformats.org/officeDocument/2006/relationships/settings" Target="settings.xml" Id="rId6" /><Relationship Type="http://schemas.openxmlformats.org/officeDocument/2006/relationships/image" Target="media/image6.svg" Id="rId15" /><Relationship Type="http://schemas.openxmlformats.org/officeDocument/2006/relationships/image" Target="media/image14.svg" Id="rId23" /><Relationship Type="http://schemas.openxmlformats.org/officeDocument/2006/relationships/image" Target="media/image19.png" Id="rId28" /><Relationship Type="http://schemas.openxmlformats.org/officeDocument/2006/relationships/image" Target="media/image25.svg" Id="rId36" /><Relationship Type="http://schemas.openxmlformats.org/officeDocument/2006/relationships/image" Target="media/image38.png" Id="rId49" /><Relationship Type="http://schemas.openxmlformats.org/officeDocument/2006/relationships/image" Target="media/image46.png" Id="rId57" /><Relationship Type="http://schemas.openxmlformats.org/officeDocument/2006/relationships/image" Target="media/image1.png" Id="rId10" /><Relationship Type="http://schemas.openxmlformats.org/officeDocument/2006/relationships/image" Target="media/image22.svg" Id="rId31" /><Relationship Type="http://schemas.openxmlformats.org/officeDocument/2006/relationships/image" Target="media/image33.svg" Id="rId44" /><Relationship Type="http://schemas.openxmlformats.org/officeDocument/2006/relationships/image" Target="media/image41.svg" Id="rId52" /><Relationship Type="http://schemas.openxmlformats.org/officeDocument/2006/relationships/image" Target="media/image49.svg" Id="rId60" /><Relationship Type="http://schemas.openxmlformats.org/officeDocument/2006/relationships/image" Target="media/image54.png" Id="rId65" /><Relationship Type="http://schemas.openxmlformats.org/officeDocument/2006/relationships/image" Target="media/image62.png" Id="rId73" /><Relationship Type="http://schemas.openxmlformats.org/officeDocument/2006/relationships/image" Target="media/image67.svg" Id="rId78" /><Relationship Type="http://schemas.openxmlformats.org/officeDocument/2006/relationships/image" Target="media/image70.png" Id="rId81" /><Relationship Type="http://schemas.openxmlformats.org/officeDocument/2006/relationships/image" Target="media/image75.svg" Id="rId86"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svg" Id="rId13" /><Relationship Type="http://schemas.openxmlformats.org/officeDocument/2006/relationships/image" Target="media/image9.png" Id="rId18" /><Relationship Type="http://schemas.openxmlformats.org/officeDocument/2006/relationships/image" Target="media/image28.png" Id="rId39" /><Relationship Type="http://schemas.openxmlformats.org/officeDocument/2006/relationships/hyperlink" Target="https://www.lboro.ac.uk/research/crsp/mis/" TargetMode="External" Id="rId34" /><Relationship Type="http://schemas.openxmlformats.org/officeDocument/2006/relationships/image" Target="media/image39.svg" Id="rId50" /><Relationship Type="http://schemas.openxmlformats.org/officeDocument/2006/relationships/image" Target="media/image44.png" Id="rId55" /><Relationship Type="http://schemas.openxmlformats.org/officeDocument/2006/relationships/image" Target="media/image65.svg" Id="rId76" /><Relationship Type="http://schemas.openxmlformats.org/officeDocument/2006/relationships/webSettings" Target="webSettings.xml" Id="rId7" /><Relationship Type="http://schemas.openxmlformats.org/officeDocument/2006/relationships/image" Target="media/image60.png" Id="rId71" /><Relationship Type="http://schemas.openxmlformats.org/officeDocument/2006/relationships/customXml" Target="../customXml/item1.xml" Id="rId2" /><Relationship Type="http://schemas.openxmlformats.org/officeDocument/2006/relationships/image" Target="media/image20.svg" Id="rId29" /><Relationship Type="http://schemas.openxmlformats.org/officeDocument/2006/relationships/image" Target="media/image15.png" Id="rId24" /><Relationship Type="http://schemas.openxmlformats.org/officeDocument/2006/relationships/image" Target="media/image29.svg" Id="rId40" /><Relationship Type="http://schemas.openxmlformats.org/officeDocument/2006/relationships/image" Target="media/image34.png" Id="rId45" /><Relationship Type="http://schemas.openxmlformats.org/officeDocument/2006/relationships/image" Target="media/image55.svg" Id="rId66" /><Relationship Type="http://schemas.openxmlformats.org/officeDocument/2006/relationships/image" Target="media/image76.png" Id="rId87" /><Relationship Type="http://schemas.openxmlformats.org/officeDocument/2006/relationships/image" Target="media/image50.png" Id="rId61" /><Relationship Type="http://schemas.openxmlformats.org/officeDocument/2006/relationships/image" Target="media/image71.svg" Id="rId82" /><Relationship Type="http://schemas.openxmlformats.org/officeDocument/2006/relationships/image" Target="media/image10.svg" Id="rId19" /><Relationship Type="http://schemas.openxmlformats.org/officeDocument/2006/relationships/customXml" Target="/customXML/item3.xml" Id="R42421261c5e049e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53D26341A57B383EE0540010E0463CCA" version="1.0.0">
  <systemFields>
    <field name="Objective-Id">
      <value order="0">A41041568</value>
    </field>
    <field name="Objective-Title">
      <value order="0">HAR Outcome indicators - Commentary -  November 2022</value>
    </field>
    <field name="Objective-Description">
      <value order="0"/>
    </field>
    <field name="Objective-CreationStamp">
      <value order="0">2022-10-19T14:41:37Z</value>
    </field>
    <field name="Objective-IsApproved">
      <value order="0">false</value>
    </field>
    <field name="Objective-IsPublished">
      <value order="0">false</value>
    </field>
    <field name="Objective-DatePublished">
      <value order="0"/>
    </field>
    <field name="Objective-ModificationStamp">
      <value order="0">2022-11-15T10:06:30Z</value>
    </field>
    <field name="Objective-Owner">
      <value order="0">Scherr, Iain I (U443662)</value>
    </field>
    <field name="Objective-Path">
      <value order="0">Objective Global Folder:SG File Plan:People, communities and living:Housing:General:Research and analysis: Housing - general:Housing and Regeneration: Housing and Regeneration Outcomes Approach: Part 2: 2017-2022</value>
    </field>
    <field name="Objective-Parent">
      <value order="0">Housing and Regeneration: Housing and Regeneration Outcomes Approach: Part 2: 2017-2022</value>
    </field>
    <field name="Objective-State">
      <value order="0">Being Drafted</value>
    </field>
    <field name="Objective-VersionId">
      <value order="0">vA61432621</value>
    </field>
    <field name="Objective-Version">
      <value order="0">0.46</value>
    </field>
    <field name="Objective-VersionNumber">
      <value order="0">46</value>
    </field>
    <field name="Objective-VersionComment">
      <value order="0"/>
    </field>
    <field name="Objective-FileNumber">
      <value order="0">PROJ/14142</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FEF31-1A9D-4B3C-AD82-7976E81B0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688</TotalTime>
  <Pages>40</Pages>
  <Words>6746</Words>
  <Characters>38458</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HAR Outcome Indicators</vt:lpstr>
    </vt:vector>
  </TitlesOfParts>
  <Company>University of Glasgow</Company>
  <LinksUpToDate>false</LinksUpToDate>
  <CharactersWithSpaces>45114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 Outcome Indicators</dc:title>
  <dc:creator>APS Administrator</dc:creator>
  <cp:lastModifiedBy>Iain Scherr</cp:lastModifiedBy>
  <cp:revision>56</cp:revision>
  <cp:lastPrinted>2014-02-13T14:21:00Z</cp:lastPrinted>
  <dcterms:created xsi:type="dcterms:W3CDTF">2022-11-03T10:50:00Z</dcterms:created>
  <dcterms:modified xsi:type="dcterms:W3CDTF">2022-11-15T10:04:00Z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A41041568</vt:lpwstr>
  </property>
  <property fmtid="{D5CDD505-2E9C-101B-9397-08002B2CF9AE}" pid="4" name="Objective-Title">
    <vt:lpwstr>HAR Outcome indicators - Commentary -  November 2022</vt:lpwstr>
  </property>
  <property fmtid="{D5CDD505-2E9C-101B-9397-08002B2CF9AE}" pid="5" name="Objective-Description">
    <vt:lpwstr/>
  </property>
  <property fmtid="{D5CDD505-2E9C-101B-9397-08002B2CF9AE}" pid="6" name="Objective-CreationStamp">
    <vt:filetime>2022-10-19T14:41:37Z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2022-11-15T10:06:30Z</vt:filetime>
  </property>
  <property fmtid="{D5CDD505-2E9C-101B-9397-08002B2CF9AE}" pid="11" name="Objective-Owner">
    <vt:lpwstr>Scherr, Iain I (U443662)</vt:lpwstr>
  </property>
  <property fmtid="{D5CDD505-2E9C-101B-9397-08002B2CF9AE}" pid="12" name="Objective-Path">
    <vt:lpwstr>Objective Global Folder:SG File Plan:People, communities and living:Housing:General:Research and analysis: Housing - general:Housing and Regeneration: Housing and Regeneration Outcomes Approach: Part 2: 2017-2022</vt:lpwstr>
  </property>
  <property fmtid="{D5CDD505-2E9C-101B-9397-08002B2CF9AE}" pid="13" name="Objective-Parent">
    <vt:lpwstr>Housing and Regeneration: Housing and Regeneration Outcomes Approach: Part 2: 2017-2022</vt:lpwstr>
  </property>
  <property fmtid="{D5CDD505-2E9C-101B-9397-08002B2CF9AE}" pid="14" name="Objective-State">
    <vt:lpwstr>Being Drafted</vt:lpwstr>
  </property>
  <property fmtid="{D5CDD505-2E9C-101B-9397-08002B2CF9AE}" pid="15" name="Objective-VersionId">
    <vt:lpwstr>vA61432621</vt:lpwstr>
  </property>
  <property fmtid="{D5CDD505-2E9C-101B-9397-08002B2CF9AE}" pid="16" name="Objective-Version">
    <vt:lpwstr>0.46</vt:lpwstr>
  </property>
  <property fmtid="{D5CDD505-2E9C-101B-9397-08002B2CF9AE}" pid="17" name="Objective-VersionNumber">
    <vt:r8>46</vt:r8>
  </property>
  <property fmtid="{D5CDD505-2E9C-101B-9397-08002B2CF9AE}" pid="18" name="Objective-VersionComment">
    <vt:lpwstr/>
  </property>
  <property fmtid="{D5CDD505-2E9C-101B-9397-08002B2CF9AE}" pid="19" name="Objective-FileNumber">
    <vt:lpwstr>PROJ/14142</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ies>
</file>