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AB24" w14:textId="77777777" w:rsidR="006B0916" w:rsidRDefault="00F12583">
      <w:pPr>
        <w:pStyle w:val="Title"/>
      </w:pPr>
      <w:r>
        <w:t>Growth Sector Briefing - Sustainable Tourism</w:t>
      </w:r>
    </w:p>
    <w:p w14:paraId="0B6984E2" w14:textId="77777777" w:rsidR="006B0916" w:rsidRDefault="00F12583">
      <w:pPr>
        <w:pStyle w:val="Author"/>
      </w:pPr>
      <w:r>
        <w:t>Office of the Chief Economic Adviser</w:t>
      </w:r>
    </w:p>
    <w:p w14:paraId="6A1B8EDE" w14:textId="4D110A56" w:rsidR="0081582C" w:rsidRDefault="0060000E" w:rsidP="0081582C">
      <w:pPr>
        <w:pStyle w:val="Date"/>
      </w:pPr>
      <w:bookmarkStart w:id="0" w:name="growth-sector-definition"/>
      <w:bookmarkEnd w:id="0"/>
      <w:r>
        <w:t>14</w:t>
      </w:r>
      <w:r w:rsidR="00A25EEA">
        <w:t xml:space="preserve"> </w:t>
      </w:r>
      <w:r w:rsidR="00256202">
        <w:t>March</w:t>
      </w:r>
      <w:r w:rsidR="00074D0A">
        <w:t xml:space="preserve"> 202</w:t>
      </w:r>
      <w:r w:rsidR="00256202">
        <w:t>4</w:t>
      </w:r>
    </w:p>
    <w:p w14:paraId="3E44C067" w14:textId="77777777" w:rsidR="006B0916" w:rsidRDefault="00F12583">
      <w:pPr>
        <w:pStyle w:val="Heading1"/>
      </w:pPr>
      <w:r>
        <w:t>Growth Sector Definition</w:t>
      </w:r>
    </w:p>
    <w:p w14:paraId="6E95FC84" w14:textId="53242590" w:rsidR="006B0916" w:rsidRDefault="00F12583">
      <w:pPr>
        <w:pStyle w:val="FirstParagraph"/>
      </w:pPr>
      <w:r>
        <w:t xml:space="preserve">Sustainable Tourism sector was identified in </w:t>
      </w:r>
      <w:r w:rsidR="006E398F">
        <w:t xml:space="preserve">Scotland’s Economic Strategy (2015) </w:t>
      </w:r>
      <w:r>
        <w:t>as one of the growth sectors in which Scotland can build on existing comparative advantage and increase productivity and growth. Scotland’s tourism sector is a diverse industry, with a range of sub-sectors such as hotels, camping sites and other provision of short stay accommodation, restaurants, bars, travel agents, museums and other recreational and cultural activities. In addition, other sectors in the Scottish economy, for example retail and transport, benefit directly and/or indirectly from the tourism industry. Economic activity generated by tourism expenditure cannot be precisely captured using SIC Codes, as tourism is a characteristic of demand rather than specific products or services. However, a number of industries within the service sector can be used to capture economic activity in a set of tourism-related industries outlined below. Data based on this classification do not represent a direct measure of economic activity from tourism, as part of the demand in these industries will be generated by non-tourists as well as tourists.</w:t>
      </w:r>
    </w:p>
    <w:p w14:paraId="0B0550A3" w14:textId="4EB09A85" w:rsidR="006B0916" w:rsidRDefault="00F12583">
      <w:pPr>
        <w:pStyle w:val="BodyText"/>
      </w:pPr>
      <w:r>
        <w:t>The Sustainable Tourism growth sector is defined b</w:t>
      </w:r>
      <w:r w:rsidR="001F64B7">
        <w:t>y the Standard Industrial</w:t>
      </w:r>
      <w:r>
        <w:t xml:space="preserve"> Classification (SIC) 2007 codes:</w:t>
      </w:r>
    </w:p>
    <w:p w14:paraId="65F33A48" w14:textId="77777777" w:rsidR="006B0916" w:rsidRDefault="00F12583">
      <w:pPr>
        <w:pStyle w:val="BodyText"/>
      </w:pPr>
      <w:r>
        <w:t>SIC 55.1: Hotels and similar accommodation</w:t>
      </w:r>
    </w:p>
    <w:p w14:paraId="3F0FB76B" w14:textId="77777777" w:rsidR="006B0916" w:rsidRDefault="00F12583">
      <w:pPr>
        <w:pStyle w:val="BodyText"/>
      </w:pPr>
      <w:r>
        <w:t>SIC 55.2: Holiday and other short-stay accommodation</w:t>
      </w:r>
    </w:p>
    <w:p w14:paraId="58FC66DA" w14:textId="77777777" w:rsidR="006B0916" w:rsidRDefault="00F12583">
      <w:pPr>
        <w:pStyle w:val="BodyText"/>
      </w:pPr>
      <w:r>
        <w:t>SIC 55.3: Camping grounds, recreational vehicle parks and trailer parks</w:t>
      </w:r>
    </w:p>
    <w:p w14:paraId="66029102" w14:textId="77777777" w:rsidR="006B0916" w:rsidRDefault="00F12583">
      <w:pPr>
        <w:pStyle w:val="BodyText"/>
      </w:pPr>
      <w:r>
        <w:t>SIC 56.1: Restaurants and mobile food service activities</w:t>
      </w:r>
    </w:p>
    <w:p w14:paraId="0B81F570" w14:textId="77777777" w:rsidR="006B0916" w:rsidRDefault="00F12583">
      <w:pPr>
        <w:pStyle w:val="BodyText"/>
      </w:pPr>
      <w:r>
        <w:t>SIC 56.3: Beverage serving activities</w:t>
      </w:r>
    </w:p>
    <w:p w14:paraId="13B178E5" w14:textId="77777777" w:rsidR="006B0916" w:rsidRDefault="00F12583">
      <w:pPr>
        <w:pStyle w:val="BodyText"/>
      </w:pPr>
      <w:r>
        <w:t>SIC 79.12: Tour operator activities</w:t>
      </w:r>
    </w:p>
    <w:p w14:paraId="1A77AD4E" w14:textId="77777777" w:rsidR="006B0916" w:rsidRDefault="00F12583">
      <w:pPr>
        <w:pStyle w:val="BodyText"/>
      </w:pPr>
      <w:r>
        <w:t>SIC 79.9: Other reservation service and related activities</w:t>
      </w:r>
    </w:p>
    <w:p w14:paraId="7C404114" w14:textId="77777777" w:rsidR="006B0916" w:rsidRDefault="00F12583">
      <w:pPr>
        <w:pStyle w:val="BodyText"/>
      </w:pPr>
      <w:r>
        <w:t>SIC 91.02: Museum activities</w:t>
      </w:r>
    </w:p>
    <w:p w14:paraId="480DA1DD" w14:textId="77777777" w:rsidR="006B0916" w:rsidRDefault="00F12583">
      <w:pPr>
        <w:pStyle w:val="BodyText"/>
      </w:pPr>
      <w:r>
        <w:t>SIC 91.03: Operation of historical sites and buildings and similar visitor attractions</w:t>
      </w:r>
    </w:p>
    <w:p w14:paraId="4E077007" w14:textId="77777777" w:rsidR="006B0916" w:rsidRDefault="00F12583">
      <w:pPr>
        <w:pStyle w:val="BodyText"/>
      </w:pPr>
      <w:r>
        <w:t>SIC 91.04: Botanical and zoological gardens and nature reserve activities</w:t>
      </w:r>
    </w:p>
    <w:p w14:paraId="0E61A718" w14:textId="77777777" w:rsidR="006B0916" w:rsidRDefault="00F12583">
      <w:pPr>
        <w:pStyle w:val="BodyText"/>
      </w:pPr>
      <w:r>
        <w:t>SIC 93.11: Operation of sports facilities</w:t>
      </w:r>
    </w:p>
    <w:p w14:paraId="5354026F" w14:textId="77777777" w:rsidR="006B0916" w:rsidRDefault="00F12583">
      <w:pPr>
        <w:pStyle w:val="BodyText"/>
      </w:pPr>
      <w:r>
        <w:t>SIC 93.199: Other sports activities (not including activities of racehorse owners) nec</w:t>
      </w:r>
    </w:p>
    <w:p w14:paraId="58EE3770" w14:textId="77777777" w:rsidR="006B0916" w:rsidRDefault="00F12583">
      <w:pPr>
        <w:pStyle w:val="BodyText"/>
      </w:pPr>
      <w:r>
        <w:t>SIC 93.21 Activities of amusement parks and theme parks</w:t>
      </w:r>
    </w:p>
    <w:p w14:paraId="45D198BB" w14:textId="77777777" w:rsidR="006B0916" w:rsidRDefault="00F12583">
      <w:pPr>
        <w:pStyle w:val="BodyText"/>
      </w:pPr>
      <w:r>
        <w:t>SIC 93.29: Other amusement and recreation activities</w:t>
      </w:r>
    </w:p>
    <w:p w14:paraId="14DD1DFF" w14:textId="77777777" w:rsidR="006B0916" w:rsidRDefault="00F12583">
      <w:pPr>
        <w:pStyle w:val="Heading1"/>
      </w:pPr>
      <w:bookmarkStart w:id="1" w:name="key-statistics"/>
      <w:bookmarkEnd w:id="1"/>
      <w:r>
        <w:lastRenderedPageBreak/>
        <w:t>Key Statistics</w:t>
      </w:r>
    </w:p>
    <w:p w14:paraId="01D46DDF" w14:textId="4B3AE6EC" w:rsidR="0081582C" w:rsidRDefault="0081582C" w:rsidP="0081582C">
      <w:pPr>
        <w:pStyle w:val="Heading2"/>
      </w:pPr>
      <w:bookmarkStart w:id="2" w:name="recent-trends-in-gdp-2020q1"/>
      <w:bookmarkEnd w:id="2"/>
      <w:r>
        <w:t>Recent trends in GDP (</w:t>
      </w:r>
      <w:r w:rsidR="00C25B20">
        <w:t xml:space="preserve">2023 </w:t>
      </w:r>
      <w:r w:rsidR="00A25EEA">
        <w:t>Q</w:t>
      </w:r>
      <w:r w:rsidR="00256202">
        <w:t>4</w:t>
      </w:r>
      <w:r>
        <w:t>)</w:t>
      </w:r>
    </w:p>
    <w:p w14:paraId="4D87BA42" w14:textId="63AE168A" w:rsidR="0081582C" w:rsidRDefault="0081582C" w:rsidP="0081582C">
      <w:pPr>
        <w:pStyle w:val="FirstParagraph"/>
      </w:pPr>
      <w:r>
        <w:rPr>
          <w:i/>
        </w:rPr>
        <w:t xml:space="preserve">Updated </w:t>
      </w:r>
      <w:r w:rsidR="00256202">
        <w:rPr>
          <w:i/>
        </w:rPr>
        <w:t>March 2024</w:t>
      </w:r>
      <w:r>
        <w:rPr>
          <w:i/>
        </w:rPr>
        <w:t xml:space="preserve">, next update </w:t>
      </w:r>
      <w:r w:rsidR="00256202">
        <w:rPr>
          <w:i/>
        </w:rPr>
        <w:t>June</w:t>
      </w:r>
      <w:r w:rsidR="00A25EEA">
        <w:rPr>
          <w:i/>
        </w:rPr>
        <w:t xml:space="preserve"> 2024</w:t>
      </w:r>
    </w:p>
    <w:p w14:paraId="76AE88EA" w14:textId="5F317ECF" w:rsidR="006B0916" w:rsidRDefault="00F12583">
      <w:pPr>
        <w:pStyle w:val="BodyText"/>
      </w:pPr>
      <w:r>
        <w:t>The latest GDP data</w:t>
      </w:r>
      <w:r>
        <w:rPr>
          <w:rStyle w:val="FootnoteReference"/>
        </w:rPr>
        <w:footnoteReference w:id="1"/>
      </w:r>
      <w:r>
        <w:t xml:space="preserve"> show that output in the Sustainable Tourism growth sector </w:t>
      </w:r>
      <w:r w:rsidR="00161B44">
        <w:t>in</w:t>
      </w:r>
      <w:r w:rsidR="00CA55D5">
        <w:t xml:space="preserve">creased </w:t>
      </w:r>
      <w:r>
        <w:t xml:space="preserve">by </w:t>
      </w:r>
      <w:r w:rsidR="00256202">
        <w:t>1</w:t>
      </w:r>
      <w:r w:rsidR="00A25EEA">
        <w:t>.</w:t>
      </w:r>
      <w:r w:rsidR="00256202">
        <w:t>0</w:t>
      </w:r>
      <w:r w:rsidR="00B71837">
        <w:t xml:space="preserve">% </w:t>
      </w:r>
      <w:r>
        <w:t>in the most recent quarter, whereas output</w:t>
      </w:r>
      <w:r w:rsidR="00896274">
        <w:t xml:space="preserve"> across the economy as a whole </w:t>
      </w:r>
      <w:r w:rsidR="00256202">
        <w:t>de</w:t>
      </w:r>
      <w:r w:rsidR="00A25EEA">
        <w:t xml:space="preserve">creased </w:t>
      </w:r>
      <w:r w:rsidR="00CA55D5">
        <w:t>by 0.</w:t>
      </w:r>
      <w:r w:rsidR="00256202">
        <w:t>6</w:t>
      </w:r>
      <w:r w:rsidR="00CA55D5">
        <w:t>%.</w:t>
      </w:r>
      <w:r w:rsidR="00B71837">
        <w:t xml:space="preserve"> </w:t>
      </w:r>
      <w:r w:rsidR="00B13EC6">
        <w:t>Compared with the same quarter in the previous year</w:t>
      </w:r>
      <w:r>
        <w:t xml:space="preserve">, output in this sector </w:t>
      </w:r>
      <w:r w:rsidR="00634683">
        <w:t xml:space="preserve">increased </w:t>
      </w:r>
      <w:r>
        <w:t xml:space="preserve">by </w:t>
      </w:r>
      <w:r w:rsidR="00256202">
        <w:t>3</w:t>
      </w:r>
      <w:r w:rsidR="00A25EEA">
        <w:t>.2</w:t>
      </w:r>
      <w:r w:rsidR="00B71837">
        <w:t xml:space="preserve">%, </w:t>
      </w:r>
      <w:r>
        <w:t xml:space="preserve">whereas output across the economy as a whole </w:t>
      </w:r>
      <w:r w:rsidR="00256202">
        <w:t>de</w:t>
      </w:r>
      <w:r w:rsidR="00A25EEA">
        <w:t xml:space="preserve">creased </w:t>
      </w:r>
      <w:r w:rsidR="00161B44">
        <w:t>0.</w:t>
      </w:r>
      <w:r w:rsidR="00256202">
        <w:t>3</w:t>
      </w:r>
      <w:r w:rsidR="00B71837">
        <w:t>%</w:t>
      </w:r>
      <w:r w:rsidR="003963EE">
        <w:t>,</w:t>
      </w:r>
      <w:r w:rsidR="00B13EC6">
        <w:t xml:space="preserve"> comparing </w:t>
      </w:r>
      <w:r w:rsidR="00A25EEA">
        <w:t>Q</w:t>
      </w:r>
      <w:r w:rsidR="00256202">
        <w:t>4</w:t>
      </w:r>
      <w:r w:rsidR="00A25EEA">
        <w:t xml:space="preserve"> </w:t>
      </w:r>
      <w:r w:rsidR="00C25B20">
        <w:t xml:space="preserve">2023 </w:t>
      </w:r>
      <w:r w:rsidR="00B13EC6">
        <w:t xml:space="preserve">to </w:t>
      </w:r>
      <w:r w:rsidR="00A25EEA">
        <w:t>Q</w:t>
      </w:r>
      <w:r w:rsidR="00256202">
        <w:t>4</w:t>
      </w:r>
      <w:r w:rsidR="00A25EEA">
        <w:t xml:space="preserve"> </w:t>
      </w:r>
      <w:r w:rsidR="00C25B20">
        <w:t>2022</w:t>
      </w:r>
      <w:r w:rsidR="00B71837">
        <w:t>.</w:t>
      </w:r>
    </w:p>
    <w:p w14:paraId="6B64B490" w14:textId="7B9493A4" w:rsidR="00137646" w:rsidRDefault="00256202">
      <w:pPr>
        <w:pStyle w:val="BodyText"/>
      </w:pPr>
      <w:r>
        <w:rPr>
          <w:noProof/>
        </w:rPr>
        <w:drawing>
          <wp:inline distT="0" distB="0" distL="0" distR="0" wp14:anchorId="0442FF40" wp14:editId="36516CF3">
            <wp:extent cx="5943600" cy="3133725"/>
            <wp:effectExtent l="0" t="0" r="0" b="0"/>
            <wp:docPr id="612379189" name="Chart 1">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0C763B5" w14:textId="4296B1EC" w:rsidR="006B0916" w:rsidRDefault="00AA0ACD">
      <w:pPr>
        <w:pStyle w:val="Heading2"/>
      </w:pPr>
      <w:bookmarkStart w:id="3" w:name="employment-2018"/>
      <w:bookmarkEnd w:id="3"/>
      <w:r>
        <w:t>Employment (</w:t>
      </w:r>
      <w:r w:rsidR="00D3633E">
        <w:t>2022</w:t>
      </w:r>
      <w:r w:rsidR="00F12583">
        <w:t>)</w:t>
      </w:r>
    </w:p>
    <w:p w14:paraId="1C48E368" w14:textId="73FDB11E" w:rsidR="006B0916" w:rsidRDefault="00F12583">
      <w:pPr>
        <w:pStyle w:val="FirstParagraph"/>
      </w:pPr>
      <w:r>
        <w:rPr>
          <w:i/>
        </w:rPr>
        <w:t>Update</w:t>
      </w:r>
      <w:r w:rsidR="00EB75C3">
        <w:rPr>
          <w:i/>
        </w:rPr>
        <w:t xml:space="preserve">d </w:t>
      </w:r>
      <w:r w:rsidR="00D3633E">
        <w:rPr>
          <w:i/>
        </w:rPr>
        <w:t>November 2023</w:t>
      </w:r>
      <w:r w:rsidR="00EB75C3">
        <w:rPr>
          <w:i/>
        </w:rPr>
        <w:t xml:space="preserve">, next update </w:t>
      </w:r>
      <w:r w:rsidR="00CA55D5">
        <w:rPr>
          <w:i/>
        </w:rPr>
        <w:t xml:space="preserve">November </w:t>
      </w:r>
      <w:r w:rsidR="00D3633E">
        <w:rPr>
          <w:i/>
        </w:rPr>
        <w:t>2024</w:t>
      </w:r>
    </w:p>
    <w:p w14:paraId="5AC976E3" w14:textId="0DF0F3AA" w:rsidR="000D0283" w:rsidRDefault="00F12583">
      <w:pPr>
        <w:pStyle w:val="BodyText"/>
      </w:pPr>
      <w:r>
        <w:t xml:space="preserve">Employment in the Sustainable </w:t>
      </w:r>
      <w:r w:rsidR="00AA0ACD">
        <w:t xml:space="preserve">Tourism growth sector stood at </w:t>
      </w:r>
      <w:r w:rsidR="00D3633E">
        <w:t>229</w:t>
      </w:r>
      <w:r w:rsidR="00176DDE">
        <w:t xml:space="preserve">,000 in </w:t>
      </w:r>
      <w:r w:rsidR="00D3633E">
        <w:t>2022</w:t>
      </w:r>
      <w:r w:rsidR="00AA0ACD">
        <w:t xml:space="preserve">, accounting for </w:t>
      </w:r>
      <w:r w:rsidR="00CA55D5">
        <w:t>8.</w:t>
      </w:r>
      <w:r w:rsidR="00D3633E">
        <w:t>7</w:t>
      </w:r>
      <w:r>
        <w:t>%</w:t>
      </w:r>
      <w:r w:rsidR="00AA0ACD">
        <w:t xml:space="preserve"> of employment in Scotland and 8</w:t>
      </w:r>
      <w:r w:rsidR="00090D15">
        <w:t>.</w:t>
      </w:r>
      <w:r w:rsidR="00D3633E">
        <w:t>6</w:t>
      </w:r>
      <w:r>
        <w:t>% of employment in Sustainable Tourism across Great Brita</w:t>
      </w:r>
      <w:r w:rsidR="00AA0ACD">
        <w:t xml:space="preserve">in. Employment in this sector </w:t>
      </w:r>
      <w:r w:rsidR="00CA55D5">
        <w:t xml:space="preserve">increased </w:t>
      </w:r>
      <w:r>
        <w:t xml:space="preserve">by </w:t>
      </w:r>
      <w:r w:rsidR="00D3633E">
        <w:t>9</w:t>
      </w:r>
      <w:r w:rsidR="00CA55D5">
        <w:t>.6</w:t>
      </w:r>
      <w:r>
        <w:t>% over the latest year in Scotland.</w:t>
      </w:r>
    </w:p>
    <w:p w14:paraId="0DB8DF77" w14:textId="5EF69951" w:rsidR="006B0916" w:rsidRDefault="00AA0ACD">
      <w:pPr>
        <w:pStyle w:val="Heading2"/>
      </w:pPr>
      <w:bookmarkStart w:id="4" w:name="employment-across-scotland-2018"/>
      <w:bookmarkEnd w:id="4"/>
      <w:r>
        <w:t>Employment across Scotland (</w:t>
      </w:r>
      <w:r w:rsidR="00D3633E">
        <w:t>2022</w:t>
      </w:r>
      <w:r w:rsidR="00F12583">
        <w:t>)</w:t>
      </w:r>
    </w:p>
    <w:p w14:paraId="0F250D9B" w14:textId="0F9A846B" w:rsidR="00AA0ACD" w:rsidRDefault="00AA0ACD" w:rsidP="00AA0ACD">
      <w:pPr>
        <w:pStyle w:val="FirstParagraph"/>
      </w:pPr>
      <w:r>
        <w:rPr>
          <w:i/>
        </w:rPr>
        <w:t xml:space="preserve">Updated </w:t>
      </w:r>
      <w:r w:rsidR="00D3633E">
        <w:rPr>
          <w:i/>
        </w:rPr>
        <w:t>November 2023</w:t>
      </w:r>
      <w:r>
        <w:rPr>
          <w:i/>
        </w:rPr>
        <w:t xml:space="preserve">, next update </w:t>
      </w:r>
      <w:r w:rsidR="00D14134">
        <w:rPr>
          <w:i/>
        </w:rPr>
        <w:t>November</w:t>
      </w:r>
      <w:r w:rsidR="00CA55D5">
        <w:rPr>
          <w:i/>
        </w:rPr>
        <w:t xml:space="preserve"> </w:t>
      </w:r>
      <w:r w:rsidR="00D3633E">
        <w:rPr>
          <w:i/>
        </w:rPr>
        <w:t>2024</w:t>
      </w:r>
    </w:p>
    <w:p w14:paraId="2119D1DA" w14:textId="634C3FBA" w:rsidR="006B0916" w:rsidRDefault="00E25F48">
      <w:pPr>
        <w:pStyle w:val="BodyText"/>
      </w:pPr>
      <w:r>
        <w:t xml:space="preserve">In </w:t>
      </w:r>
      <w:r w:rsidR="00115436">
        <w:t>2022</w:t>
      </w:r>
      <w:r w:rsidR="00F12583">
        <w:t>, employment in the Sustainable Tourism growth sector was highest in City of Edinburgh (</w:t>
      </w:r>
      <w:r w:rsidR="00CA55D5">
        <w:t>3</w:t>
      </w:r>
      <w:r w:rsidR="00115436">
        <w:t>7</w:t>
      </w:r>
      <w:r>
        <w:t>,000) and Glasgow City (</w:t>
      </w:r>
      <w:r w:rsidR="00115436">
        <w:t>33</w:t>
      </w:r>
      <w:r w:rsidR="00192B86">
        <w:t>,</w:t>
      </w:r>
      <w:r w:rsidR="00F12583">
        <w:t>000), which comprised 1</w:t>
      </w:r>
      <w:r w:rsidR="00115436">
        <w:t>6.2</w:t>
      </w:r>
      <w:r w:rsidR="00F12583">
        <w:t xml:space="preserve">% and </w:t>
      </w:r>
      <w:r>
        <w:t>14.</w:t>
      </w:r>
      <w:r w:rsidR="00115436">
        <w:t>4</w:t>
      </w:r>
      <w:r w:rsidR="00F12583">
        <w:t>% of employment in this sector respectively.</w:t>
      </w:r>
    </w:p>
    <w:p w14:paraId="7B4E2FA0" w14:textId="77777777" w:rsidR="00256202" w:rsidRDefault="00256202">
      <w:pPr>
        <w:pStyle w:val="Heading2"/>
      </w:pPr>
      <w:bookmarkStart w:id="5" w:name="exports2-2018"/>
      <w:bookmarkEnd w:id="5"/>
    </w:p>
    <w:p w14:paraId="76945230" w14:textId="45D00B55" w:rsidR="006B0916" w:rsidRDefault="00F12583">
      <w:pPr>
        <w:pStyle w:val="Heading2"/>
      </w:pPr>
      <w:r>
        <w:t>Exports</w:t>
      </w:r>
      <w:r>
        <w:rPr>
          <w:rStyle w:val="FootnoteReference"/>
        </w:rPr>
        <w:footnoteReference w:id="2"/>
      </w:r>
      <w:r>
        <w:t xml:space="preserve"> (20</w:t>
      </w:r>
      <w:r w:rsidR="00256202">
        <w:t>21</w:t>
      </w:r>
      <w:r>
        <w:t>)</w:t>
      </w:r>
    </w:p>
    <w:p w14:paraId="3321EBE8" w14:textId="5136BC32" w:rsidR="006B0916" w:rsidRDefault="00F12583">
      <w:pPr>
        <w:pStyle w:val="BodyText"/>
      </w:pPr>
      <w:r>
        <w:rPr>
          <w:i/>
        </w:rPr>
        <w:t xml:space="preserve">Updated </w:t>
      </w:r>
      <w:r w:rsidR="00256202">
        <w:rPr>
          <w:i/>
        </w:rPr>
        <w:t>March 2024</w:t>
      </w:r>
      <w:r w:rsidR="001F64B7">
        <w:rPr>
          <w:i/>
        </w:rPr>
        <w:t>, next update tbc</w:t>
      </w:r>
    </w:p>
    <w:p w14:paraId="24A7CBE7" w14:textId="426C75A9" w:rsidR="000A4D11" w:rsidRDefault="000A4D11" w:rsidP="000A4D11">
      <w:bookmarkStart w:id="6" w:name="turnovergross-value-added-2018"/>
      <w:bookmarkEnd w:id="6"/>
      <w:r>
        <w:t>Total exports from the Sustainable Tourism growth sector stood at £</w:t>
      </w:r>
      <w:r w:rsidR="00256202">
        <w:t>600</w:t>
      </w:r>
      <w:r>
        <w:t xml:space="preserve"> </w:t>
      </w:r>
      <w:r w:rsidR="00256202">
        <w:t>m</w:t>
      </w:r>
      <w:r>
        <w:t>illion in 20</w:t>
      </w:r>
      <w:r w:rsidR="00256202">
        <w:t>21</w:t>
      </w:r>
      <w:r>
        <w:t xml:space="preserve">, accounting for </w:t>
      </w:r>
      <w:r w:rsidR="00256202">
        <w:t>0</w:t>
      </w:r>
      <w:r>
        <w:t>.</w:t>
      </w:r>
      <w:r w:rsidR="00256202">
        <w:t>8</w:t>
      </w:r>
      <w:r>
        <w:t xml:space="preserve">% of Scotland’s total exports. Exports from this sector increased by </w:t>
      </w:r>
      <w:r w:rsidR="00256202">
        <w:t>23</w:t>
      </w:r>
      <w:r>
        <w:t>.</w:t>
      </w:r>
      <w:r w:rsidR="00256202">
        <w:t>7</w:t>
      </w:r>
      <w:r>
        <w:t>% over the year.</w:t>
      </w:r>
    </w:p>
    <w:p w14:paraId="54462586" w14:textId="02FA8A53" w:rsidR="000A4D11" w:rsidRDefault="000A4D11" w:rsidP="000A4D11">
      <w:r>
        <w:t>Exports to the rest of the UK stood at £</w:t>
      </w:r>
      <w:r w:rsidR="00256202">
        <w:t>415</w:t>
      </w:r>
      <w:r>
        <w:t xml:space="preserve"> million in 20</w:t>
      </w:r>
      <w:r w:rsidR="00256202">
        <w:t>21</w:t>
      </w:r>
      <w:r>
        <w:t xml:space="preserve"> and accounted for 6</w:t>
      </w:r>
      <w:r w:rsidR="00256202">
        <w:t>9</w:t>
      </w:r>
      <w:r>
        <w:t>.</w:t>
      </w:r>
      <w:r w:rsidR="00256202">
        <w:t>2</w:t>
      </w:r>
      <w:r>
        <w:t>% of total Sustainable Tourism exports. International exports to the EU stood at £</w:t>
      </w:r>
      <w:r w:rsidR="00256202">
        <w:t>85</w:t>
      </w:r>
      <w:r>
        <w:t xml:space="preserve"> million (1</w:t>
      </w:r>
      <w:r w:rsidR="00256202">
        <w:t>4</w:t>
      </w:r>
      <w:r>
        <w:t>.</w:t>
      </w:r>
      <w:r w:rsidR="00256202">
        <w:t>2</w:t>
      </w:r>
      <w:r>
        <w:t>%) and international exports to non-EU countries stood at £</w:t>
      </w:r>
      <w:r w:rsidR="00256202">
        <w:t>100</w:t>
      </w:r>
      <w:r>
        <w:t xml:space="preserve"> million (</w:t>
      </w:r>
      <w:r w:rsidR="00256202">
        <w:t>16</w:t>
      </w:r>
      <w:r>
        <w:t>.</w:t>
      </w:r>
      <w:r w:rsidR="00256202">
        <w:t>7</w:t>
      </w:r>
      <w:r>
        <w:t>%).</w:t>
      </w:r>
    </w:p>
    <w:p w14:paraId="3447E51D" w14:textId="0E2AD4F8" w:rsidR="006B0916" w:rsidRDefault="00F12583">
      <w:pPr>
        <w:pStyle w:val="Heading2"/>
      </w:pPr>
      <w:r>
        <w:t>Turnover/Gross Value Added (</w:t>
      </w:r>
      <w:r w:rsidR="007E3DAD">
        <w:t>202</w:t>
      </w:r>
      <w:r w:rsidR="00D4785C">
        <w:t>1</w:t>
      </w:r>
      <w:r>
        <w:t>)</w:t>
      </w:r>
    </w:p>
    <w:p w14:paraId="452D604D" w14:textId="6ACDC480" w:rsidR="006B0916" w:rsidRDefault="00F12583">
      <w:pPr>
        <w:pStyle w:val="FirstParagraph"/>
      </w:pPr>
      <w:r>
        <w:rPr>
          <w:i/>
        </w:rPr>
        <w:t xml:space="preserve">Updated </w:t>
      </w:r>
      <w:r w:rsidR="007E3DAD">
        <w:rPr>
          <w:i/>
        </w:rPr>
        <w:t>August 202</w:t>
      </w:r>
      <w:r w:rsidR="00D4785C">
        <w:rPr>
          <w:i/>
        </w:rPr>
        <w:t>3</w:t>
      </w:r>
      <w:r w:rsidR="001F64B7">
        <w:rPr>
          <w:i/>
        </w:rPr>
        <w:t>, next update</w:t>
      </w:r>
      <w:r w:rsidR="00450624">
        <w:rPr>
          <w:i/>
        </w:rPr>
        <w:t xml:space="preserve"> </w:t>
      </w:r>
      <w:r w:rsidR="00A9530D">
        <w:rPr>
          <w:i/>
        </w:rPr>
        <w:t>August</w:t>
      </w:r>
      <w:r w:rsidR="00F95C88">
        <w:rPr>
          <w:i/>
        </w:rPr>
        <w:t xml:space="preserve"> 202</w:t>
      </w:r>
      <w:r w:rsidR="00D4785C">
        <w:rPr>
          <w:i/>
        </w:rPr>
        <w:t>4</w:t>
      </w:r>
      <w:r w:rsidR="00F95C88">
        <w:rPr>
          <w:i/>
        </w:rPr>
        <w:t xml:space="preserve"> </w:t>
      </w:r>
    </w:p>
    <w:p w14:paraId="78D450D9" w14:textId="3B0873AB" w:rsidR="006B0916" w:rsidRDefault="00F12583">
      <w:pPr>
        <w:pStyle w:val="BodyText"/>
      </w:pPr>
      <w:r>
        <w:t xml:space="preserve">In </w:t>
      </w:r>
      <w:r w:rsidR="007E3DAD">
        <w:t>202</w:t>
      </w:r>
      <w:r w:rsidR="00D4785C">
        <w:t>1</w:t>
      </w:r>
      <w:r>
        <w:t>, total turnover in the Sustainable Tourism growth sector was £</w:t>
      </w:r>
      <w:r w:rsidR="00D4785C" w:rsidRPr="00D4785C">
        <w:t>6</w:t>
      </w:r>
      <w:r w:rsidR="00D4785C">
        <w:t>,</w:t>
      </w:r>
      <w:r w:rsidR="00D4785C" w:rsidRPr="00D4785C">
        <w:t>535.1</w:t>
      </w:r>
      <w:r w:rsidR="00D4785C">
        <w:t xml:space="preserve"> </w:t>
      </w:r>
      <w:r>
        <w:t xml:space="preserve">million. Between </w:t>
      </w:r>
      <w:r w:rsidR="007E3DAD">
        <w:t>20</w:t>
      </w:r>
      <w:r w:rsidR="00D4785C">
        <w:t>20</w:t>
      </w:r>
      <w:r w:rsidR="007E3DAD">
        <w:t xml:space="preserve"> </w:t>
      </w:r>
      <w:r>
        <w:t xml:space="preserve">and </w:t>
      </w:r>
      <w:r w:rsidR="007E3DAD">
        <w:t>202</w:t>
      </w:r>
      <w:r w:rsidR="00D4785C">
        <w:t>1</w:t>
      </w:r>
      <w:r>
        <w:t xml:space="preserve">, total turnover in this growth sector </w:t>
      </w:r>
      <w:r w:rsidR="00524B68">
        <w:t>in</w:t>
      </w:r>
      <w:r>
        <w:t xml:space="preserve">creased by </w:t>
      </w:r>
      <w:r w:rsidR="00D4785C">
        <w:t>29.1</w:t>
      </w:r>
      <w:r>
        <w:t>% in nominal terms.</w:t>
      </w:r>
    </w:p>
    <w:p w14:paraId="07541AAD" w14:textId="7FC0414C" w:rsidR="00E96F8D" w:rsidRDefault="00F12583">
      <w:pPr>
        <w:pStyle w:val="BodyText"/>
      </w:pPr>
      <w:r>
        <w:t xml:space="preserve">Gross Value Added for the Sustainable Tourism growth sector </w:t>
      </w:r>
      <w:r w:rsidR="00E96F8D">
        <w:t xml:space="preserve">was estimated at </w:t>
      </w:r>
      <w:r>
        <w:t>£</w:t>
      </w:r>
      <w:r w:rsidR="00D4785C" w:rsidRPr="00D4785C">
        <w:t>3</w:t>
      </w:r>
      <w:r w:rsidR="00D4785C">
        <w:t>,</w:t>
      </w:r>
      <w:r w:rsidR="00D4785C" w:rsidRPr="00D4785C">
        <w:t>365.8</w:t>
      </w:r>
      <w:r w:rsidR="00D4785C">
        <w:t xml:space="preserve"> </w:t>
      </w:r>
      <w:r>
        <w:t xml:space="preserve">million in </w:t>
      </w:r>
      <w:r w:rsidR="007E3DAD">
        <w:t>202</w:t>
      </w:r>
      <w:r w:rsidR="00D4785C">
        <w:t>1</w:t>
      </w:r>
      <w:r w:rsidR="00E96F8D">
        <w:t>,</w:t>
      </w:r>
      <w:r w:rsidR="007E3DAD">
        <w:t xml:space="preserve"> </w:t>
      </w:r>
      <w:r>
        <w:t>a</w:t>
      </w:r>
      <w:r w:rsidR="00524B68">
        <w:t>n in</w:t>
      </w:r>
      <w:r>
        <w:t xml:space="preserve">crease </w:t>
      </w:r>
      <w:r w:rsidR="00E96F8D">
        <w:t xml:space="preserve">of </w:t>
      </w:r>
      <w:r w:rsidR="00D4785C">
        <w:t>31.3</w:t>
      </w:r>
      <w:r>
        <w:t xml:space="preserve">% </w:t>
      </w:r>
      <w:r w:rsidR="00E96F8D">
        <w:t>compared to 20</w:t>
      </w:r>
      <w:r w:rsidR="00D4785C">
        <w:t>20</w:t>
      </w:r>
      <w:r w:rsidR="00E96F8D">
        <w:t xml:space="preserve"> (£</w:t>
      </w:r>
      <w:r w:rsidR="00524B68" w:rsidRPr="00524B68">
        <w:t>2</w:t>
      </w:r>
      <w:r w:rsidR="00524B68">
        <w:t>,</w:t>
      </w:r>
      <w:r w:rsidR="00524B68" w:rsidRPr="00524B68">
        <w:t>564.4</w:t>
      </w:r>
      <w:r w:rsidR="00721091">
        <w:t xml:space="preserve"> </w:t>
      </w:r>
      <w:r w:rsidR="00E96F8D">
        <w:t>million).</w:t>
      </w:r>
    </w:p>
    <w:p w14:paraId="069A542A" w14:textId="6A921A88" w:rsidR="006B0916" w:rsidRDefault="00F12583">
      <w:pPr>
        <w:pStyle w:val="Heading2"/>
      </w:pPr>
      <w:bookmarkStart w:id="7" w:name="enterprises-20193"/>
      <w:bookmarkEnd w:id="7"/>
      <w:r>
        <w:t>Enterprises (</w:t>
      </w:r>
      <w:r w:rsidR="00926F64">
        <w:t>202</w:t>
      </w:r>
      <w:r w:rsidR="000D0283">
        <w:t>3</w:t>
      </w:r>
      <w:r>
        <w:t>)</w:t>
      </w:r>
      <w:r>
        <w:rPr>
          <w:rStyle w:val="FootnoteReference"/>
        </w:rPr>
        <w:footnoteReference w:id="3"/>
      </w:r>
    </w:p>
    <w:p w14:paraId="699B91F1" w14:textId="0C922D56" w:rsidR="006B0916" w:rsidRDefault="00F12583">
      <w:pPr>
        <w:pStyle w:val="BodyText"/>
      </w:pPr>
      <w:r>
        <w:rPr>
          <w:i/>
        </w:rPr>
        <w:t>Update</w:t>
      </w:r>
      <w:r w:rsidR="00C70047">
        <w:rPr>
          <w:i/>
        </w:rPr>
        <w:t xml:space="preserve">d </w:t>
      </w:r>
      <w:r w:rsidR="008631C1">
        <w:rPr>
          <w:i/>
        </w:rPr>
        <w:t xml:space="preserve">December </w:t>
      </w:r>
      <w:r w:rsidR="00074D0A">
        <w:rPr>
          <w:i/>
        </w:rPr>
        <w:t>2023</w:t>
      </w:r>
      <w:r w:rsidR="00C70047">
        <w:rPr>
          <w:i/>
        </w:rPr>
        <w:t>, next update</w:t>
      </w:r>
      <w:r w:rsidR="004F612F" w:rsidRPr="004F612F">
        <w:rPr>
          <w:i/>
        </w:rPr>
        <w:t xml:space="preserve"> </w:t>
      </w:r>
      <w:r w:rsidR="00074D0A">
        <w:rPr>
          <w:i/>
        </w:rPr>
        <w:t>December</w:t>
      </w:r>
      <w:r w:rsidR="00074D0A" w:rsidRPr="00A2035F">
        <w:rPr>
          <w:i/>
        </w:rPr>
        <w:t xml:space="preserve"> </w:t>
      </w:r>
      <w:r w:rsidR="008631C1" w:rsidRPr="00A2035F">
        <w:rPr>
          <w:i/>
        </w:rPr>
        <w:t>202</w:t>
      </w:r>
      <w:r w:rsidR="008631C1">
        <w:rPr>
          <w:i/>
        </w:rPr>
        <w:t>4</w:t>
      </w:r>
    </w:p>
    <w:p w14:paraId="103ABDB8" w14:textId="2412697E" w:rsidR="006B0916" w:rsidRDefault="00F12583">
      <w:pPr>
        <w:pStyle w:val="BodyText"/>
      </w:pPr>
      <w:r>
        <w:t xml:space="preserve">In </w:t>
      </w:r>
      <w:r w:rsidR="00074D0A">
        <w:t xml:space="preserve">March </w:t>
      </w:r>
      <w:r w:rsidR="008631C1">
        <w:t>2023</w:t>
      </w:r>
      <w:r>
        <w:t xml:space="preserve">, there were </w:t>
      </w:r>
      <w:r w:rsidR="00926F64">
        <w:t>15,</w:t>
      </w:r>
      <w:r w:rsidR="008631C1">
        <w:t xml:space="preserve">830 </w:t>
      </w:r>
      <w:r>
        <w:t>registered enterprises operating in the Sustainable Tourism growth sector</w:t>
      </w:r>
      <w:r w:rsidR="003963EE">
        <w:t>,</w:t>
      </w:r>
      <w:r>
        <w:t xml:space="preserve"> representing </w:t>
      </w:r>
      <w:r w:rsidR="00074D0A">
        <w:t>9.1</w:t>
      </w:r>
      <w:r>
        <w:t xml:space="preserve">% of all registered business in Scotland. In </w:t>
      </w:r>
      <w:r w:rsidR="008631C1">
        <w:t>2023</w:t>
      </w:r>
      <w:r>
        <w:t xml:space="preserve">, </w:t>
      </w:r>
      <w:r w:rsidR="008631C1">
        <w:t>96.9</w:t>
      </w:r>
      <w:r w:rsidRPr="004F612F">
        <w:t>%</w:t>
      </w:r>
      <w:r>
        <w:t xml:space="preserve"> of Scottish Sustainable Tourism registered enterprises were small (0-49 employees), accounting for </w:t>
      </w:r>
      <w:r w:rsidR="008631C1">
        <w:t>52.3</w:t>
      </w:r>
      <w:r>
        <w:t>% of employment in this sector, whilst large enterprises (250+ employees) accounted for 1.</w:t>
      </w:r>
      <w:r w:rsidR="001B59F4">
        <w:t>0</w:t>
      </w:r>
      <w:r>
        <w:t>% of registered enterprises but 32.</w:t>
      </w:r>
      <w:r w:rsidR="008631C1">
        <w:t>9</w:t>
      </w:r>
      <w:r>
        <w:t>% of employment.</w:t>
      </w:r>
    </w:p>
    <w:p w14:paraId="388CF64A" w14:textId="5FF6AC27" w:rsidR="006B0916" w:rsidRDefault="008631C1">
      <w:pPr>
        <w:pStyle w:val="BodyText"/>
      </w:pPr>
      <w:r>
        <w:rPr>
          <w:noProof/>
        </w:rPr>
        <w:lastRenderedPageBreak/>
        <w:drawing>
          <wp:inline distT="0" distB="0" distL="0" distR="0" wp14:anchorId="01501A75" wp14:editId="30462A81">
            <wp:extent cx="6261100" cy="3287898"/>
            <wp:effectExtent l="0" t="0" r="6350" b="8255"/>
            <wp:docPr id="749741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8405" cy="3296985"/>
                    </a:xfrm>
                    <a:prstGeom prst="rect">
                      <a:avLst/>
                    </a:prstGeom>
                    <a:noFill/>
                  </pic:spPr>
                </pic:pic>
              </a:graphicData>
            </a:graphic>
          </wp:inline>
        </w:drawing>
      </w:r>
    </w:p>
    <w:p w14:paraId="12D14270" w14:textId="4A7721BE" w:rsidR="006B0916" w:rsidRDefault="00F12583">
      <w:pPr>
        <w:pStyle w:val="BodyText"/>
      </w:pPr>
      <w:r>
        <w:t>The majority of enterprises in the Sustainable Tourism sector were UK owned with their registered office address in Scotland (</w:t>
      </w:r>
      <w:r w:rsidR="00074D0A">
        <w:t>98.</w:t>
      </w:r>
      <w:r w:rsidR="008631C1">
        <w:t>1</w:t>
      </w:r>
      <w:r>
        <w:t>%), accounting for 77.</w:t>
      </w:r>
      <w:r w:rsidR="008631C1">
        <w:t>9</w:t>
      </w:r>
      <w:r>
        <w:t xml:space="preserve">% of sector employment in </w:t>
      </w:r>
      <w:r w:rsidR="008631C1">
        <w:t>2023</w:t>
      </w:r>
      <w:r>
        <w:t xml:space="preserve">. </w:t>
      </w:r>
      <w:r w:rsidR="00926F64" w:rsidDel="00926F64">
        <w:t xml:space="preserve"> </w:t>
      </w:r>
      <w:r w:rsidR="008631C1">
        <w:t>0.9</w:t>
      </w:r>
      <w:r>
        <w:t xml:space="preserve">% of businesses were registered abroad, but they accounted for </w:t>
      </w:r>
      <w:r w:rsidR="008631C1">
        <w:t>11.9</w:t>
      </w:r>
      <w:r>
        <w:t>% of employment in this sector.</w:t>
      </w:r>
    </w:p>
    <w:p w14:paraId="00EE7618" w14:textId="46F6EF84" w:rsidR="006B0916" w:rsidRDefault="00E25F48">
      <w:pPr>
        <w:pStyle w:val="Heading2"/>
      </w:pPr>
      <w:bookmarkStart w:id="8" w:name="earnings-2018"/>
      <w:bookmarkEnd w:id="8"/>
      <w:r>
        <w:t>Earnings (</w:t>
      </w:r>
      <w:r w:rsidR="00A25EEA">
        <w:t>2023</w:t>
      </w:r>
      <w:r w:rsidR="00F12583">
        <w:t>)</w:t>
      </w:r>
    </w:p>
    <w:p w14:paraId="57351B0F" w14:textId="245A6BC4" w:rsidR="006B0916" w:rsidRDefault="00E25F48">
      <w:pPr>
        <w:pStyle w:val="FirstParagraph"/>
      </w:pPr>
      <w:r>
        <w:rPr>
          <w:i/>
        </w:rPr>
        <w:t xml:space="preserve">Updated </w:t>
      </w:r>
      <w:r w:rsidR="00A25EEA">
        <w:rPr>
          <w:i/>
        </w:rPr>
        <w:t xml:space="preserve">December </w:t>
      </w:r>
      <w:r w:rsidR="00074D0A">
        <w:rPr>
          <w:i/>
        </w:rPr>
        <w:t>2023</w:t>
      </w:r>
      <w:r w:rsidR="00EB75C3">
        <w:rPr>
          <w:i/>
        </w:rPr>
        <w:t xml:space="preserve">, next update </w:t>
      </w:r>
      <w:r w:rsidR="00A25EEA">
        <w:rPr>
          <w:i/>
        </w:rPr>
        <w:t xml:space="preserve">December </w:t>
      </w:r>
      <w:r w:rsidR="00074D0A">
        <w:rPr>
          <w:i/>
        </w:rPr>
        <w:t>2024</w:t>
      </w:r>
    </w:p>
    <w:p w14:paraId="2B5BEBF6" w14:textId="377553DD" w:rsidR="006B0916" w:rsidRDefault="00F12583">
      <w:pPr>
        <w:pStyle w:val="BodyText"/>
      </w:pPr>
      <w:r>
        <w:t>Median weekly full time earnings across the Scottish Sustainable Tourism growt</w:t>
      </w:r>
      <w:r w:rsidR="00E25F48">
        <w:t>h sector stood at £</w:t>
      </w:r>
      <w:r w:rsidR="00074D0A">
        <w:t>4</w:t>
      </w:r>
      <w:r w:rsidR="00A25EEA">
        <w:t xml:space="preserve">98.3 </w:t>
      </w:r>
      <w:r w:rsidR="00E25F48">
        <w:t xml:space="preserve">in </w:t>
      </w:r>
      <w:r w:rsidR="00A25EEA">
        <w:t>2023</w:t>
      </w:r>
      <w:r>
        <w:t>, which was lower tha</w:t>
      </w:r>
      <w:r w:rsidR="00EB75C3">
        <w:t xml:space="preserve">n </w:t>
      </w:r>
      <w:r w:rsidR="00E25F48">
        <w:t>the Scottish average at £</w:t>
      </w:r>
      <w:r w:rsidR="00A25EEA">
        <w:t>702.8</w:t>
      </w:r>
      <w:r w:rsidR="00E25F48">
        <w:t>.</w:t>
      </w:r>
    </w:p>
    <w:p w14:paraId="5C77ECB7" w14:textId="72A3C813" w:rsidR="00C52440" w:rsidRDefault="00E25F48" w:rsidP="00C52440">
      <w:pPr>
        <w:pStyle w:val="Heading2"/>
      </w:pPr>
      <w:bookmarkStart w:id="9" w:name="research-and-development-2017"/>
      <w:bookmarkStart w:id="10" w:name="business-demography-2018"/>
      <w:bookmarkEnd w:id="9"/>
      <w:bookmarkEnd w:id="10"/>
      <w:r>
        <w:t>Business Demography (</w:t>
      </w:r>
      <w:r w:rsidR="00B03016">
        <w:t>202</w:t>
      </w:r>
      <w:r w:rsidR="00256202">
        <w:t>2</w:t>
      </w:r>
      <w:r>
        <w:t>)</w:t>
      </w:r>
    </w:p>
    <w:p w14:paraId="7FC11BA4" w14:textId="20B4BACB" w:rsidR="00C52440" w:rsidRDefault="00E25F48" w:rsidP="00C52440">
      <w:pPr>
        <w:pStyle w:val="FirstParagraph"/>
      </w:pPr>
      <w:r>
        <w:rPr>
          <w:i/>
        </w:rPr>
        <w:t xml:space="preserve">Updated March </w:t>
      </w:r>
      <w:r w:rsidR="00B03016">
        <w:rPr>
          <w:i/>
        </w:rPr>
        <w:t>202</w:t>
      </w:r>
      <w:r w:rsidR="00256202">
        <w:rPr>
          <w:i/>
        </w:rPr>
        <w:t>4</w:t>
      </w:r>
      <w:r>
        <w:rPr>
          <w:i/>
        </w:rPr>
        <w:t xml:space="preserve">, next update March </w:t>
      </w:r>
      <w:r w:rsidR="00B03016">
        <w:rPr>
          <w:i/>
        </w:rPr>
        <w:t>202</w:t>
      </w:r>
      <w:r w:rsidR="00256202">
        <w:rPr>
          <w:i/>
        </w:rPr>
        <w:t>5</w:t>
      </w:r>
    </w:p>
    <w:p w14:paraId="2E4E69C0" w14:textId="4117AF39" w:rsidR="006B0916" w:rsidRDefault="00F12583">
      <w:pPr>
        <w:pStyle w:val="BodyText"/>
      </w:pPr>
      <w:r>
        <w:t xml:space="preserve">The number of registered business births (VAT/PAYE registrations) in the Sustainable Tourism growth sector in Scotland </w:t>
      </w:r>
      <w:r w:rsidR="00256202">
        <w:t>de</w:t>
      </w:r>
      <w:r w:rsidR="00B03016">
        <w:t xml:space="preserve">creased </w:t>
      </w:r>
      <w:r>
        <w:t xml:space="preserve">by </w:t>
      </w:r>
      <w:r w:rsidR="00B03016">
        <w:t>1.</w:t>
      </w:r>
      <w:r w:rsidR="00256202">
        <w:t>3</w:t>
      </w:r>
      <w:r>
        <w:t>%, from 2,</w:t>
      </w:r>
      <w:r w:rsidR="00B03016">
        <w:t xml:space="preserve">295 </w:t>
      </w:r>
      <w:r>
        <w:t xml:space="preserve">in </w:t>
      </w:r>
      <w:r w:rsidR="00E25F48">
        <w:t>202</w:t>
      </w:r>
      <w:r w:rsidR="00B03016">
        <w:t>1</w:t>
      </w:r>
      <w:r w:rsidR="00256202">
        <w:t xml:space="preserve"> to 2,265 in 2022</w:t>
      </w:r>
      <w:r>
        <w:t xml:space="preserve">. The business birth rate, which is the number of births as a percentage of active businesses, was </w:t>
      </w:r>
      <w:r w:rsidR="00B03016">
        <w:t>1</w:t>
      </w:r>
      <w:r w:rsidR="00256202">
        <w:t>2</w:t>
      </w:r>
      <w:r w:rsidR="00B03016">
        <w:t>.</w:t>
      </w:r>
      <w:r w:rsidR="00256202">
        <w:t>5</w:t>
      </w:r>
      <w:r>
        <w:t>%. In comparison, business births in Su</w:t>
      </w:r>
      <w:r w:rsidR="003963EE">
        <w:t>stainable Tourism across the UK</w:t>
      </w:r>
      <w:r>
        <w:t xml:space="preserve"> </w:t>
      </w:r>
      <w:r w:rsidR="00256202">
        <w:t>de</w:t>
      </w:r>
      <w:r w:rsidR="00B03016">
        <w:t xml:space="preserve">creased </w:t>
      </w:r>
      <w:r>
        <w:t xml:space="preserve">by </w:t>
      </w:r>
      <w:r w:rsidR="00256202">
        <w:t>3</w:t>
      </w:r>
      <w:r w:rsidR="00B03016">
        <w:t>.</w:t>
      </w:r>
      <w:r w:rsidR="00256202">
        <w:t>9</w:t>
      </w:r>
      <w:r>
        <w:t xml:space="preserve">% between </w:t>
      </w:r>
      <w:r w:rsidR="00B03016">
        <w:t>202</w:t>
      </w:r>
      <w:r w:rsidR="00256202">
        <w:t>1</w:t>
      </w:r>
      <w:r w:rsidR="00B03016">
        <w:t xml:space="preserve"> </w:t>
      </w:r>
      <w:r>
        <w:t xml:space="preserve">and </w:t>
      </w:r>
      <w:r w:rsidR="00B03016">
        <w:t>202</w:t>
      </w:r>
      <w:r w:rsidR="00256202">
        <w:t>2</w:t>
      </w:r>
      <w:r>
        <w:t xml:space="preserve">, with a birth rate of </w:t>
      </w:r>
      <w:r w:rsidR="00B03016">
        <w:t>1</w:t>
      </w:r>
      <w:r w:rsidR="00256202">
        <w:t>2</w:t>
      </w:r>
      <w:r w:rsidR="00B03016">
        <w:t>.6</w:t>
      </w:r>
      <w:r>
        <w:t>%.</w:t>
      </w:r>
    </w:p>
    <w:p w14:paraId="113BB84E" w14:textId="2EE4608E" w:rsidR="006B0916" w:rsidRDefault="00F12583">
      <w:pPr>
        <w:pStyle w:val="BodyText"/>
      </w:pPr>
      <w:r>
        <w:t>The number of business deaths (VAT/PAYE de-registrations) in the Sustainable Tourism growth sect</w:t>
      </w:r>
      <w:r w:rsidR="00E25F48">
        <w:t xml:space="preserve">or in Scotland </w:t>
      </w:r>
      <w:r w:rsidR="00256202">
        <w:t>in</w:t>
      </w:r>
      <w:r>
        <w:t xml:space="preserve">creased by </w:t>
      </w:r>
      <w:r w:rsidR="00256202">
        <w:t>32</w:t>
      </w:r>
      <w:r w:rsidR="00B03016">
        <w:t>.</w:t>
      </w:r>
      <w:r w:rsidR="00256202">
        <w:t>4</w:t>
      </w:r>
      <w:r>
        <w:t xml:space="preserve">%, from </w:t>
      </w:r>
      <w:r w:rsidR="00E25F48">
        <w:t>1</w:t>
      </w:r>
      <w:r>
        <w:t>,</w:t>
      </w:r>
      <w:r w:rsidR="00B03016">
        <w:t>60</w:t>
      </w:r>
      <w:r w:rsidR="00256202">
        <w:t>5</w:t>
      </w:r>
      <w:r w:rsidR="00B03016">
        <w:t xml:space="preserve"> </w:t>
      </w:r>
      <w:r>
        <w:t xml:space="preserve">in </w:t>
      </w:r>
      <w:r w:rsidR="00B03016">
        <w:t>2021</w:t>
      </w:r>
      <w:r w:rsidR="00256202">
        <w:t xml:space="preserve"> to 2,125 in 2022</w:t>
      </w:r>
      <w:r>
        <w:t xml:space="preserve">. The business death rate, which is the number of deaths as a percentage of active businesses, was </w:t>
      </w:r>
      <w:r w:rsidR="00256202">
        <w:t>11</w:t>
      </w:r>
      <w:r w:rsidR="00B03016">
        <w:t>.</w:t>
      </w:r>
      <w:r w:rsidR="00256202">
        <w:t>7</w:t>
      </w:r>
      <w:r>
        <w:t>%. In comparison, business deaths in Su</w:t>
      </w:r>
      <w:r w:rsidR="003963EE">
        <w:t>stainable Tourism across the UK</w:t>
      </w:r>
      <w:r w:rsidR="00E25F48">
        <w:t xml:space="preserve"> </w:t>
      </w:r>
      <w:r w:rsidR="00256202">
        <w:t>in</w:t>
      </w:r>
      <w:r>
        <w:t xml:space="preserve">creased by </w:t>
      </w:r>
      <w:r w:rsidR="00256202">
        <w:t>37</w:t>
      </w:r>
      <w:r w:rsidR="00B03016">
        <w:t>.</w:t>
      </w:r>
      <w:r w:rsidR="00256202">
        <w:t>5</w:t>
      </w:r>
      <w:r>
        <w:t xml:space="preserve">% between </w:t>
      </w:r>
      <w:r w:rsidR="00B03016">
        <w:t>20</w:t>
      </w:r>
      <w:r w:rsidR="00256202">
        <w:t>21</w:t>
      </w:r>
      <w:r w:rsidR="00B03016">
        <w:t xml:space="preserve"> </w:t>
      </w:r>
      <w:r>
        <w:t xml:space="preserve">and </w:t>
      </w:r>
      <w:r w:rsidR="00B03016">
        <w:t>202</w:t>
      </w:r>
      <w:r w:rsidR="00256202">
        <w:t>2</w:t>
      </w:r>
      <w:r>
        <w:t xml:space="preserve">, with a death rate of </w:t>
      </w:r>
      <w:r w:rsidR="00256202">
        <w:t>11</w:t>
      </w:r>
      <w:r w:rsidR="00E25F48">
        <w:t>.</w:t>
      </w:r>
      <w:r w:rsidR="00256202">
        <w:t>6</w:t>
      </w:r>
      <w:r>
        <w:t>%.</w:t>
      </w:r>
    </w:p>
    <w:p w14:paraId="78728C5C" w14:textId="77777777" w:rsidR="006B0916" w:rsidRDefault="00F12583">
      <w:pPr>
        <w:pStyle w:val="Heading3"/>
      </w:pPr>
      <w:bookmarkStart w:id="11" w:name="sources-of-information"/>
      <w:bookmarkEnd w:id="11"/>
      <w:r>
        <w:t>Sources of information</w:t>
      </w:r>
    </w:p>
    <w:p w14:paraId="5D7FA94B" w14:textId="77777777" w:rsidR="006B0916" w:rsidRDefault="00F12583">
      <w:pPr>
        <w:pStyle w:val="FirstParagraph"/>
      </w:pPr>
      <w:r>
        <w:rPr>
          <w:b/>
        </w:rPr>
        <w:t>GDP</w:t>
      </w:r>
      <w:r>
        <w:t xml:space="preserve"> – Scottish Government Quarterly GDP Index.</w:t>
      </w:r>
    </w:p>
    <w:p w14:paraId="058E9677" w14:textId="77777777" w:rsidR="006B0916" w:rsidRDefault="00F12583">
      <w:pPr>
        <w:pStyle w:val="BodyText"/>
      </w:pPr>
      <w:r>
        <w:rPr>
          <w:b/>
        </w:rPr>
        <w:t>Employment</w:t>
      </w:r>
      <w:r>
        <w:t xml:space="preserve"> – Business Register and Employment Survey.</w:t>
      </w:r>
    </w:p>
    <w:p w14:paraId="4A2EFC24" w14:textId="77777777" w:rsidR="006B0916" w:rsidRDefault="00F12583">
      <w:pPr>
        <w:pStyle w:val="BodyText"/>
      </w:pPr>
      <w:r>
        <w:rPr>
          <w:b/>
        </w:rPr>
        <w:lastRenderedPageBreak/>
        <w:t>Exports</w:t>
      </w:r>
      <w:r>
        <w:t xml:space="preserve"> –</w:t>
      </w:r>
      <w:r w:rsidR="00581B99">
        <w:t xml:space="preserve"> Export Statistics Scotland</w:t>
      </w:r>
      <w:r>
        <w:t>.</w:t>
      </w:r>
    </w:p>
    <w:p w14:paraId="078BD1AA" w14:textId="77777777" w:rsidR="006B0916" w:rsidRDefault="00F12583">
      <w:pPr>
        <w:pStyle w:val="BodyText"/>
      </w:pPr>
      <w:r>
        <w:rPr>
          <w:b/>
        </w:rPr>
        <w:t>Turnover &amp; GVA</w:t>
      </w:r>
      <w:r>
        <w:t xml:space="preserve"> - Scottish Annual Business Statistic</w:t>
      </w:r>
      <w:r w:rsidR="00581B99">
        <w:t>s</w:t>
      </w:r>
      <w:r>
        <w:t>.</w:t>
      </w:r>
    </w:p>
    <w:p w14:paraId="19F71F68" w14:textId="77777777" w:rsidR="006B0916" w:rsidRDefault="00F12583">
      <w:pPr>
        <w:pStyle w:val="BodyText"/>
      </w:pPr>
      <w:r>
        <w:rPr>
          <w:b/>
        </w:rPr>
        <w:t>Enterprises</w:t>
      </w:r>
      <w:r>
        <w:t xml:space="preserve"> – Inter Departmental Business Register.</w:t>
      </w:r>
    </w:p>
    <w:p w14:paraId="387C988C" w14:textId="77777777" w:rsidR="006B0916" w:rsidRDefault="00F12583">
      <w:pPr>
        <w:pStyle w:val="BodyText"/>
      </w:pPr>
      <w:r>
        <w:rPr>
          <w:b/>
        </w:rPr>
        <w:t>Earnings</w:t>
      </w:r>
      <w:r>
        <w:t xml:space="preserve"> – Annual Survey of Hours &amp; Earnings.</w:t>
      </w:r>
    </w:p>
    <w:p w14:paraId="37853CC4" w14:textId="77777777" w:rsidR="006B0916" w:rsidRDefault="00F12583">
      <w:pPr>
        <w:pStyle w:val="BodyText"/>
      </w:pPr>
      <w:r>
        <w:rPr>
          <w:b/>
        </w:rPr>
        <w:t>Business Demography</w:t>
      </w:r>
      <w:r>
        <w:t xml:space="preserve"> - Inter Departmental Business Register and ONS Business Demography.</w:t>
      </w:r>
    </w:p>
    <w:p w14:paraId="0D78EA25" w14:textId="77777777" w:rsidR="00EB75C3" w:rsidRDefault="00EB75C3" w:rsidP="00EB75C3">
      <w:pPr>
        <w:pStyle w:val="BodyText"/>
      </w:pPr>
      <w:r>
        <w:t xml:space="preserve">All data are available from the Growth Sector Statistics Database: </w:t>
      </w:r>
      <w:hyperlink r:id="rId9" w:history="1">
        <w:r>
          <w:rPr>
            <w:rStyle w:val="Hyperlink"/>
          </w:rPr>
          <w:t>https://www.gov.scot/publications/growth-sector-statistics/</w:t>
        </w:r>
      </w:hyperlink>
    </w:p>
    <w:p w14:paraId="72BB5718" w14:textId="77777777" w:rsidR="00EB75C3" w:rsidRDefault="00EB75C3" w:rsidP="00EB75C3">
      <w:pPr>
        <w:pStyle w:val="BodyText"/>
      </w:pPr>
      <w:r>
        <w:t>All percentages and percentage changes over time are calculated based on the rounded figures shown in the Growth Sector Statistics Database.</w:t>
      </w:r>
    </w:p>
    <w:p w14:paraId="180922C4" w14:textId="4029F1AE" w:rsidR="00EB75C3" w:rsidRDefault="00EB75C3" w:rsidP="00EB75C3">
      <w:pPr>
        <w:pStyle w:val="BodyText"/>
      </w:pPr>
      <w:r>
        <w:t xml:space="preserve">For more information about the methodology behind the Growth Sector Statistics Database, please see the Methodology Note: </w:t>
      </w:r>
      <w:hyperlink r:id="rId10" w:history="1">
        <w:r w:rsidR="00223597">
          <w:rPr>
            <w:rStyle w:val="Hyperlink"/>
          </w:rPr>
          <w:t>https://www.gov.scot/binaries/content/documents/govscot/publications/statistics/2019/07/growth-sector-statistics/documents/growth-sector-method-note/growth-sector-method-note/govscot%3Adocument/Growth%2BSectors%2B</w:t>
        </w:r>
        <w:r w:rsidR="00223597" w:rsidRPr="00CC0A00">
          <w:rPr>
            <w:rStyle w:val="Hyperlink"/>
          </w:rPr>
          <w:t>Methodology%2Bdocument.docx</w:t>
        </w:r>
      </w:hyperlink>
    </w:p>
    <w:p w14:paraId="3187742C" w14:textId="77777777" w:rsidR="006B0916" w:rsidRDefault="006B0916" w:rsidP="00EB75C3">
      <w:pPr>
        <w:pStyle w:val="BodyText"/>
      </w:pPr>
    </w:p>
    <w:sectPr w:rsidR="006B0916" w:rsidSect="000D0283">
      <w:pgSz w:w="12240" w:h="15840"/>
      <w:pgMar w:top="56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05E6" w14:textId="77777777" w:rsidR="004017BE" w:rsidRDefault="00F12583">
      <w:pPr>
        <w:spacing w:after="0"/>
      </w:pPr>
      <w:r>
        <w:separator/>
      </w:r>
    </w:p>
  </w:endnote>
  <w:endnote w:type="continuationSeparator" w:id="0">
    <w:p w14:paraId="0BF93040" w14:textId="77777777" w:rsidR="004017BE" w:rsidRDefault="00F125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9182" w14:textId="77777777" w:rsidR="006B0916" w:rsidRDefault="00F12583">
      <w:r>
        <w:separator/>
      </w:r>
    </w:p>
  </w:footnote>
  <w:footnote w:type="continuationSeparator" w:id="0">
    <w:p w14:paraId="76031D05" w14:textId="77777777" w:rsidR="006B0916" w:rsidRDefault="00F12583">
      <w:r>
        <w:continuationSeparator/>
      </w:r>
    </w:p>
  </w:footnote>
  <w:footnote w:id="1">
    <w:p w14:paraId="36589BA1" w14:textId="7D976F85" w:rsidR="006B0916" w:rsidRPr="00AA0ACD" w:rsidRDefault="00F12583">
      <w:pPr>
        <w:pStyle w:val="FootnoteText"/>
        <w:rPr>
          <w:sz w:val="16"/>
          <w:szCs w:val="16"/>
        </w:rPr>
      </w:pPr>
      <w:r w:rsidRPr="00AA0ACD">
        <w:rPr>
          <w:rStyle w:val="FootnoteReference"/>
          <w:sz w:val="16"/>
          <w:szCs w:val="16"/>
        </w:rPr>
        <w:footnoteRef/>
      </w:r>
      <w:r w:rsidRPr="00AA0ACD">
        <w:rPr>
          <w:sz w:val="16"/>
          <w:szCs w:val="16"/>
        </w:rPr>
        <w:t xml:space="preserve"> The index represents the volume of GVA created compared to the ‘base’ year (currently 201</w:t>
      </w:r>
      <w:r w:rsidR="00161B44">
        <w:rPr>
          <w:sz w:val="16"/>
          <w:szCs w:val="16"/>
        </w:rPr>
        <w:t>9</w:t>
      </w:r>
      <w:r w:rsidRPr="00AA0ACD">
        <w:rPr>
          <w:sz w:val="16"/>
          <w:szCs w:val="16"/>
        </w:rPr>
        <w:t>). Figures are deflated to remove the effect of price changes over time to produce an estimate of real terms (or constant price) growth. The figures are seasonally adjusted to remove the effects of regular, calendar based cycles in certain industries.</w:t>
      </w:r>
    </w:p>
  </w:footnote>
  <w:footnote w:id="2">
    <w:p w14:paraId="00573ED7" w14:textId="77777777" w:rsidR="006B0916" w:rsidRDefault="00F12583">
      <w:pPr>
        <w:pStyle w:val="FootnoteText"/>
      </w:pPr>
      <w:r>
        <w:rPr>
          <w:rStyle w:val="FootnoteReference"/>
        </w:rPr>
        <w:footnoteRef/>
      </w:r>
      <w:r>
        <w:t xml:space="preserve"> The figures for the growth sectors are derived by aggregating estimates based at a low Standard Industrial Classification (SIC) level. Export Statistics Scotland is not designed to collect data at this level of accuracy, therefore these results should be treated as indicative.</w:t>
      </w:r>
    </w:p>
  </w:footnote>
  <w:footnote w:id="3">
    <w:p w14:paraId="2E127F4B" w14:textId="77777777" w:rsidR="006B0916" w:rsidRDefault="00F12583">
      <w:pPr>
        <w:pStyle w:val="FootnoteText"/>
      </w:pPr>
      <w:r>
        <w:rPr>
          <w:rStyle w:val="FootnoteReference"/>
        </w:rPr>
        <w:footnoteRef/>
      </w:r>
      <w:r>
        <w:t xml:space="preserve"> Employment statistics referred to here are not directly comparable with Business Register and Employment Survey (BRES) employment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58F4A1"/>
    <w:multiLevelType w:val="multilevel"/>
    <w:tmpl w:val="4DA299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D1B6C5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FFFFF7C"/>
    <w:multiLevelType w:val="singleLevel"/>
    <w:tmpl w:val="CC34831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1B3E778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E0F8297E"/>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EECCB668"/>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204ED64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BDCE035A"/>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018E072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FDBE0E7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4B239A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0C9E87F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237915"/>
    <w:multiLevelType w:val="multilevel"/>
    <w:tmpl w:val="27E006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939361590">
    <w:abstractNumId w:val="1"/>
  </w:num>
  <w:num w:numId="2" w16cid:durableId="116528971">
    <w:abstractNumId w:val="12"/>
  </w:num>
  <w:num w:numId="3" w16cid:durableId="1199703384">
    <w:abstractNumId w:val="11"/>
  </w:num>
  <w:num w:numId="4" w16cid:durableId="4480776">
    <w:abstractNumId w:val="9"/>
  </w:num>
  <w:num w:numId="5" w16cid:durableId="670179590">
    <w:abstractNumId w:val="8"/>
  </w:num>
  <w:num w:numId="6" w16cid:durableId="899435805">
    <w:abstractNumId w:val="7"/>
  </w:num>
  <w:num w:numId="7" w16cid:durableId="1949893285">
    <w:abstractNumId w:val="6"/>
  </w:num>
  <w:num w:numId="8" w16cid:durableId="1516076483">
    <w:abstractNumId w:val="10"/>
  </w:num>
  <w:num w:numId="9" w16cid:durableId="529490108">
    <w:abstractNumId w:val="5"/>
  </w:num>
  <w:num w:numId="10" w16cid:durableId="1274508898">
    <w:abstractNumId w:val="4"/>
  </w:num>
  <w:num w:numId="11" w16cid:durableId="1561020343">
    <w:abstractNumId w:val="3"/>
  </w:num>
  <w:num w:numId="12" w16cid:durableId="1935357386">
    <w:abstractNumId w:val="2"/>
  </w:num>
  <w:num w:numId="13" w16cid:durableId="26949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74D0A"/>
    <w:rsid w:val="00090D15"/>
    <w:rsid w:val="000A4D11"/>
    <w:rsid w:val="000D0283"/>
    <w:rsid w:val="000D15D2"/>
    <w:rsid w:val="00115416"/>
    <w:rsid w:val="00115436"/>
    <w:rsid w:val="00137646"/>
    <w:rsid w:val="00142AD2"/>
    <w:rsid w:val="00161B44"/>
    <w:rsid w:val="00176DDE"/>
    <w:rsid w:val="00192B86"/>
    <w:rsid w:val="001B59F4"/>
    <w:rsid w:val="001F64B7"/>
    <w:rsid w:val="00223597"/>
    <w:rsid w:val="00256202"/>
    <w:rsid w:val="00275AFC"/>
    <w:rsid w:val="002F4F47"/>
    <w:rsid w:val="003963EE"/>
    <w:rsid w:val="003A45A3"/>
    <w:rsid w:val="003F1AE3"/>
    <w:rsid w:val="004017BE"/>
    <w:rsid w:val="00450624"/>
    <w:rsid w:val="004C0CB8"/>
    <w:rsid w:val="004E29B3"/>
    <w:rsid w:val="004F612F"/>
    <w:rsid w:val="00524B68"/>
    <w:rsid w:val="00581B99"/>
    <w:rsid w:val="00590D07"/>
    <w:rsid w:val="00597CE9"/>
    <w:rsid w:val="005A5A34"/>
    <w:rsid w:val="005E13A1"/>
    <w:rsid w:val="0060000E"/>
    <w:rsid w:val="00601275"/>
    <w:rsid w:val="00634683"/>
    <w:rsid w:val="006A472B"/>
    <w:rsid w:val="006B0916"/>
    <w:rsid w:val="006B669E"/>
    <w:rsid w:val="006D5F75"/>
    <w:rsid w:val="006E398F"/>
    <w:rsid w:val="00721091"/>
    <w:rsid w:val="0073694A"/>
    <w:rsid w:val="007849FA"/>
    <w:rsid w:val="00784D58"/>
    <w:rsid w:val="007E3DAD"/>
    <w:rsid w:val="008124AE"/>
    <w:rsid w:val="0081582C"/>
    <w:rsid w:val="008631C1"/>
    <w:rsid w:val="00896274"/>
    <w:rsid w:val="008D6863"/>
    <w:rsid w:val="00914A14"/>
    <w:rsid w:val="00926F64"/>
    <w:rsid w:val="00A11679"/>
    <w:rsid w:val="00A2035F"/>
    <w:rsid w:val="00A25EEA"/>
    <w:rsid w:val="00A9530D"/>
    <w:rsid w:val="00AA0ACD"/>
    <w:rsid w:val="00AB3E25"/>
    <w:rsid w:val="00AB4185"/>
    <w:rsid w:val="00AB723F"/>
    <w:rsid w:val="00AE0413"/>
    <w:rsid w:val="00AE2D71"/>
    <w:rsid w:val="00B03016"/>
    <w:rsid w:val="00B13EC6"/>
    <w:rsid w:val="00B71837"/>
    <w:rsid w:val="00B86B75"/>
    <w:rsid w:val="00BC48D5"/>
    <w:rsid w:val="00BD2E20"/>
    <w:rsid w:val="00C25B20"/>
    <w:rsid w:val="00C36279"/>
    <w:rsid w:val="00C52440"/>
    <w:rsid w:val="00C70047"/>
    <w:rsid w:val="00C927AF"/>
    <w:rsid w:val="00CA55D5"/>
    <w:rsid w:val="00CE5779"/>
    <w:rsid w:val="00CE78AF"/>
    <w:rsid w:val="00D14134"/>
    <w:rsid w:val="00D23097"/>
    <w:rsid w:val="00D34FE2"/>
    <w:rsid w:val="00D3633E"/>
    <w:rsid w:val="00D4785C"/>
    <w:rsid w:val="00D96BC7"/>
    <w:rsid w:val="00DC6D47"/>
    <w:rsid w:val="00E13570"/>
    <w:rsid w:val="00E25F48"/>
    <w:rsid w:val="00E315A3"/>
    <w:rsid w:val="00E96F8D"/>
    <w:rsid w:val="00EB75C3"/>
    <w:rsid w:val="00F062F7"/>
    <w:rsid w:val="00F12583"/>
    <w:rsid w:val="00F22187"/>
    <w:rsid w:val="00F86029"/>
    <w:rsid w:val="00F95C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17CA"/>
  <w15:docId w15:val="{00E1BC09-34CE-4813-8180-63E3C968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50C"/>
    <w:rPr>
      <w:rFonts w:ascii="Arial" w:hAnsi="Arial"/>
    </w:rPr>
  </w:style>
  <w:style w:type="paragraph" w:styleId="Heading1">
    <w:name w:val="heading 1"/>
    <w:basedOn w:val="Normal"/>
    <w:next w:val="BodyText"/>
    <w:uiPriority w:val="9"/>
    <w:qFormat/>
    <w:rsid w:val="009B750C"/>
    <w:pPr>
      <w:keepNext/>
      <w:keepLines/>
      <w:pBdr>
        <w:bottom w:val="single" w:sz="4" w:space="1" w:color="auto"/>
      </w:pBdr>
      <w:spacing w:before="480" w:after="0"/>
      <w:outlineLvl w:val="0"/>
    </w:pPr>
    <w:rPr>
      <w:rFonts w:eastAsiaTheme="majorEastAsia" w:cstheme="majorBidi"/>
      <w:b/>
      <w:bCs/>
      <w:sz w:val="28"/>
      <w:szCs w:val="32"/>
    </w:rPr>
  </w:style>
  <w:style w:type="paragraph" w:styleId="Heading2">
    <w:name w:val="heading 2"/>
    <w:basedOn w:val="Normal"/>
    <w:next w:val="BodyText"/>
    <w:link w:val="Heading2Char"/>
    <w:uiPriority w:val="9"/>
    <w:unhideWhenUsed/>
    <w:qFormat/>
    <w:rsid w:val="003C6F64"/>
    <w:pPr>
      <w:keepNext/>
      <w:keepLines/>
      <w:spacing w:before="200" w:after="0"/>
      <w:outlineLvl w:val="1"/>
    </w:pPr>
    <w:rPr>
      <w:rFonts w:eastAsiaTheme="majorEastAsia" w:cstheme="majorBidi"/>
      <w:b/>
      <w:bCs/>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6F5239"/>
    <w:pPr>
      <w:keepNext/>
      <w:keepLines/>
      <w:shd w:val="clear" w:color="auto" w:fill="1F497D" w:themeFill="text2"/>
      <w:spacing w:before="480" w:after="240"/>
      <w:jc w:val="center"/>
    </w:pPr>
    <w:rPr>
      <w:rFonts w:eastAsiaTheme="majorEastAsia" w:cstheme="majorBidi"/>
      <w:b/>
      <w:bCs/>
      <w:color w:val="FFFFFF" w:themeColor="background1"/>
      <w:sz w:val="32"/>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623EAD"/>
    <w:pPr>
      <w:keepNext/>
      <w:keepLines/>
      <w:shd w:val="clear" w:color="auto" w:fill="1F497D" w:themeFill="text2"/>
      <w:spacing w:after="80"/>
      <w:jc w:val="center"/>
    </w:pPr>
    <w:rPr>
      <w:rFonts w:ascii="Arial" w:hAnsi="Arial"/>
      <w:b/>
      <w:color w:val="FFFFFF" w:themeColor="background1"/>
    </w:rPr>
  </w:style>
  <w:style w:type="paragraph" w:styleId="Date">
    <w:name w:val="Date"/>
    <w:next w:val="BodyText"/>
    <w:link w:val="DateChar"/>
    <w:qFormat/>
    <w:rsid w:val="00623EAD"/>
    <w:pPr>
      <w:keepNext/>
      <w:keepLines/>
      <w:shd w:val="clear" w:color="auto" w:fill="1F497D" w:themeFill="text2"/>
      <w:jc w:val="center"/>
    </w:pPr>
    <w:rPr>
      <w:rFonts w:ascii="Arial" w:hAnsi="Arial"/>
      <w:b/>
      <w:color w:val="FFFFFF" w:themeColor="background1"/>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9B750C"/>
    <w:pPr>
      <w:spacing w:before="100" w:after="100"/>
      <w:jc w:val="center"/>
    </w:pPr>
    <w:rPr>
      <w:rFonts w:eastAsiaTheme="majorEastAsia" w:cstheme="majorBidi"/>
      <w:bCs/>
      <w:i/>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623EAD"/>
  </w:style>
  <w:style w:type="character" w:customStyle="1" w:styleId="Heading2Char">
    <w:name w:val="Heading 2 Char"/>
    <w:basedOn w:val="DefaultParagraphFont"/>
    <w:link w:val="Heading2"/>
    <w:uiPriority w:val="9"/>
    <w:rsid w:val="00896274"/>
    <w:rPr>
      <w:rFonts w:ascii="Arial" w:eastAsiaTheme="majorEastAsia" w:hAnsi="Arial" w:cstheme="majorBidi"/>
      <w:b/>
      <w:bCs/>
      <w:szCs w:val="32"/>
    </w:rPr>
  </w:style>
  <w:style w:type="character" w:customStyle="1" w:styleId="DateChar">
    <w:name w:val="Date Char"/>
    <w:basedOn w:val="DefaultParagraphFont"/>
    <w:link w:val="Date"/>
    <w:rsid w:val="0081582C"/>
    <w:rPr>
      <w:rFonts w:ascii="Arial" w:hAnsi="Arial"/>
      <w:b/>
      <w:color w:val="FFFFFF" w:themeColor="background1"/>
      <w:shd w:val="clear" w:color="auto" w:fill="1F497D" w:themeFill="text2"/>
    </w:rPr>
  </w:style>
  <w:style w:type="paragraph" w:styleId="BalloonText">
    <w:name w:val="Balloon Text"/>
    <w:basedOn w:val="Normal"/>
    <w:link w:val="BalloonTextChar"/>
    <w:semiHidden/>
    <w:unhideWhenUsed/>
    <w:rsid w:val="00926F6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26F64"/>
    <w:rPr>
      <w:rFonts w:ascii="Segoe UI" w:hAnsi="Segoe UI" w:cs="Segoe UI"/>
      <w:sz w:val="18"/>
      <w:szCs w:val="18"/>
    </w:rPr>
  </w:style>
  <w:style w:type="character" w:styleId="FollowedHyperlink">
    <w:name w:val="FollowedHyperlink"/>
    <w:basedOn w:val="DefaultParagraphFont"/>
    <w:semiHidden/>
    <w:unhideWhenUsed/>
    <w:rsid w:val="003963EE"/>
    <w:rPr>
      <w:color w:val="800080" w:themeColor="followedHyperlink"/>
      <w:u w:val="single"/>
    </w:rPr>
  </w:style>
  <w:style w:type="character" w:styleId="CommentReference">
    <w:name w:val="annotation reference"/>
    <w:basedOn w:val="DefaultParagraphFont"/>
    <w:semiHidden/>
    <w:unhideWhenUsed/>
    <w:rsid w:val="00BD2E20"/>
    <w:rPr>
      <w:sz w:val="16"/>
      <w:szCs w:val="16"/>
    </w:rPr>
  </w:style>
  <w:style w:type="paragraph" w:styleId="CommentText">
    <w:name w:val="annotation text"/>
    <w:basedOn w:val="Normal"/>
    <w:link w:val="CommentTextChar"/>
    <w:semiHidden/>
    <w:unhideWhenUsed/>
    <w:rsid w:val="00BD2E20"/>
    <w:rPr>
      <w:sz w:val="20"/>
      <w:szCs w:val="20"/>
    </w:rPr>
  </w:style>
  <w:style w:type="character" w:customStyle="1" w:styleId="CommentTextChar">
    <w:name w:val="Comment Text Char"/>
    <w:basedOn w:val="DefaultParagraphFont"/>
    <w:link w:val="CommentText"/>
    <w:semiHidden/>
    <w:rsid w:val="00BD2E20"/>
    <w:rPr>
      <w:rFonts w:ascii="Arial" w:hAnsi="Arial"/>
      <w:sz w:val="20"/>
      <w:szCs w:val="20"/>
    </w:rPr>
  </w:style>
  <w:style w:type="paragraph" w:styleId="CommentSubject">
    <w:name w:val="annotation subject"/>
    <w:basedOn w:val="CommentText"/>
    <w:next w:val="CommentText"/>
    <w:link w:val="CommentSubjectChar"/>
    <w:semiHidden/>
    <w:unhideWhenUsed/>
    <w:rsid w:val="00BD2E20"/>
    <w:rPr>
      <w:b/>
      <w:bCs/>
    </w:rPr>
  </w:style>
  <w:style w:type="character" w:customStyle="1" w:styleId="CommentSubjectChar">
    <w:name w:val="Comment Subject Char"/>
    <w:basedOn w:val="CommentTextChar"/>
    <w:link w:val="CommentSubject"/>
    <w:semiHidden/>
    <w:rsid w:val="00BD2E20"/>
    <w:rPr>
      <w:rFonts w:ascii="Arial" w:hAnsi="Arial"/>
      <w:b/>
      <w:bCs/>
      <w:sz w:val="20"/>
      <w:szCs w:val="20"/>
    </w:rPr>
  </w:style>
  <w:style w:type="paragraph" w:styleId="Revision">
    <w:name w:val="Revision"/>
    <w:hidden/>
    <w:semiHidden/>
    <w:rsid w:val="00AB3E25"/>
    <w:pPr>
      <w:spacing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684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scot/binaries/content/documents/govscot/publications/statistics/2019/07/growth-sector-statistics/documents/growth-sector-method-note/growth-sector-method-note/govscot%3Adocument/Growth%2BSectors%2BMethodology%2Bdocument.docx" TargetMode="External"/><Relationship Id="rId4" Type="http://schemas.openxmlformats.org/officeDocument/2006/relationships/webSettings" Target="webSettings.xml"/><Relationship Id="rId9" Type="http://schemas.openxmlformats.org/officeDocument/2006/relationships/hyperlink" Target="https://www.gov.scot/publications/growth-sector-statistic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0177a\datashare\OCEA\Business_Enterprise\Growth%20Sectors\Growth%20sector%20workings\Feb%202024%20update%20-%20Demo,%20Exports,%20LS%20Cluster\GDP\Growth%20Industries%20-%20Table%204%20-%202023Q3-%20GDP%20working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GB" b="1"/>
              <a:t>Scottish Quarterly GDP Index,</a:t>
            </a:r>
            <a:r>
              <a:rPr lang="en-GB" b="1" baseline="0"/>
              <a:t> 2023 Q4</a:t>
            </a:r>
            <a:endParaRPr lang="en-GB" b="1"/>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5"/>
          <c:order val="0"/>
          <c:tx>
            <c:v>Whole Economy</c:v>
          </c:tx>
          <c:spPr>
            <a:ln w="41275" cap="sq" cmpd="sng">
              <a:solidFill>
                <a:srgbClr val="2DA197"/>
              </a:solidFill>
              <a:prstDash val="sysDot"/>
              <a:round/>
            </a:ln>
            <a:effectLst/>
          </c:spPr>
          <c:marker>
            <c:symbol val="none"/>
          </c:marker>
          <c:cat>
            <c:numRef>
              <c:f>Sheet1!$A$2:$CW$2</c:f>
              <c:numCache>
                <c:formatCode>General</c:formatCode>
                <c:ptCount val="101"/>
                <c:pt idx="0">
                  <c:v>1998</c:v>
                </c:pt>
                <c:pt idx="4">
                  <c:v>1999</c:v>
                </c:pt>
                <c:pt idx="8">
                  <c:v>2000</c:v>
                </c:pt>
                <c:pt idx="12">
                  <c:v>2001</c:v>
                </c:pt>
                <c:pt idx="16">
                  <c:v>2002</c:v>
                </c:pt>
                <c:pt idx="20">
                  <c:v>2003</c:v>
                </c:pt>
                <c:pt idx="24">
                  <c:v>2004</c:v>
                </c:pt>
                <c:pt idx="28">
                  <c:v>2005</c:v>
                </c:pt>
                <c:pt idx="32">
                  <c:v>2006</c:v>
                </c:pt>
                <c:pt idx="36">
                  <c:v>2007</c:v>
                </c:pt>
                <c:pt idx="40">
                  <c:v>2008</c:v>
                </c:pt>
                <c:pt idx="44">
                  <c:v>2009</c:v>
                </c:pt>
                <c:pt idx="48">
                  <c:v>2010</c:v>
                </c:pt>
                <c:pt idx="52">
                  <c:v>2011</c:v>
                </c:pt>
                <c:pt idx="56">
                  <c:v>2012</c:v>
                </c:pt>
                <c:pt idx="60">
                  <c:v>2013</c:v>
                </c:pt>
                <c:pt idx="64">
                  <c:v>2014</c:v>
                </c:pt>
                <c:pt idx="68">
                  <c:v>2015</c:v>
                </c:pt>
                <c:pt idx="72">
                  <c:v>2016</c:v>
                </c:pt>
                <c:pt idx="76">
                  <c:v>2017</c:v>
                </c:pt>
                <c:pt idx="80">
                  <c:v>2018</c:v>
                </c:pt>
                <c:pt idx="84">
                  <c:v>2019</c:v>
                </c:pt>
                <c:pt idx="88">
                  <c:v>2020</c:v>
                </c:pt>
                <c:pt idx="92">
                  <c:v>2021</c:v>
                </c:pt>
                <c:pt idx="96">
                  <c:v>2022</c:v>
                </c:pt>
                <c:pt idx="100">
                  <c:v>2023</c:v>
                </c:pt>
              </c:numCache>
            </c:numRef>
          </c:cat>
          <c:val>
            <c:numRef>
              <c:f>Sheet1!$A$4:$CZ$4</c:f>
              <c:numCache>
                <c:formatCode>0.0</c:formatCode>
                <c:ptCount val="104"/>
                <c:pt idx="0">
                  <c:v>72.7</c:v>
                </c:pt>
                <c:pt idx="1">
                  <c:v>73</c:v>
                </c:pt>
                <c:pt idx="2">
                  <c:v>72.599999999999994</c:v>
                </c:pt>
                <c:pt idx="3">
                  <c:v>72.599999999999994</c:v>
                </c:pt>
                <c:pt idx="4">
                  <c:v>72.7</c:v>
                </c:pt>
                <c:pt idx="5">
                  <c:v>72.900000000000006</c:v>
                </c:pt>
                <c:pt idx="6">
                  <c:v>73.2</c:v>
                </c:pt>
                <c:pt idx="7">
                  <c:v>74.099999999999994</c:v>
                </c:pt>
                <c:pt idx="8">
                  <c:v>74.8</c:v>
                </c:pt>
                <c:pt idx="9">
                  <c:v>75.099999999999994</c:v>
                </c:pt>
                <c:pt idx="10">
                  <c:v>75.3</c:v>
                </c:pt>
                <c:pt idx="11">
                  <c:v>75.3</c:v>
                </c:pt>
                <c:pt idx="12">
                  <c:v>75.599999999999994</c:v>
                </c:pt>
                <c:pt idx="13">
                  <c:v>75.599999999999994</c:v>
                </c:pt>
                <c:pt idx="14">
                  <c:v>76.400000000000006</c:v>
                </c:pt>
                <c:pt idx="15">
                  <c:v>77.400000000000006</c:v>
                </c:pt>
                <c:pt idx="16">
                  <c:v>77.099999999999994</c:v>
                </c:pt>
                <c:pt idx="17">
                  <c:v>77.5</c:v>
                </c:pt>
                <c:pt idx="18">
                  <c:v>78.099999999999994</c:v>
                </c:pt>
                <c:pt idx="19">
                  <c:v>78.2</c:v>
                </c:pt>
                <c:pt idx="20">
                  <c:v>78.7</c:v>
                </c:pt>
                <c:pt idx="21">
                  <c:v>79.599999999999994</c:v>
                </c:pt>
                <c:pt idx="22">
                  <c:v>80.8</c:v>
                </c:pt>
                <c:pt idx="23">
                  <c:v>80.8</c:v>
                </c:pt>
                <c:pt idx="24">
                  <c:v>81.8</c:v>
                </c:pt>
                <c:pt idx="25">
                  <c:v>81.900000000000006</c:v>
                </c:pt>
                <c:pt idx="26">
                  <c:v>81.900000000000006</c:v>
                </c:pt>
                <c:pt idx="27">
                  <c:v>82.9</c:v>
                </c:pt>
                <c:pt idx="28">
                  <c:v>82.5</c:v>
                </c:pt>
                <c:pt idx="29">
                  <c:v>82.7</c:v>
                </c:pt>
                <c:pt idx="30">
                  <c:v>83.4</c:v>
                </c:pt>
                <c:pt idx="31">
                  <c:v>84.5</c:v>
                </c:pt>
                <c:pt idx="32">
                  <c:v>85.5</c:v>
                </c:pt>
                <c:pt idx="33">
                  <c:v>85.7</c:v>
                </c:pt>
                <c:pt idx="34">
                  <c:v>85.6</c:v>
                </c:pt>
                <c:pt idx="35">
                  <c:v>86.3</c:v>
                </c:pt>
                <c:pt idx="36">
                  <c:v>86.4</c:v>
                </c:pt>
                <c:pt idx="37">
                  <c:v>86.2</c:v>
                </c:pt>
                <c:pt idx="38">
                  <c:v>86.5</c:v>
                </c:pt>
                <c:pt idx="39">
                  <c:v>87.2</c:v>
                </c:pt>
                <c:pt idx="40">
                  <c:v>88.6</c:v>
                </c:pt>
                <c:pt idx="41">
                  <c:v>89.3</c:v>
                </c:pt>
                <c:pt idx="42">
                  <c:v>88.3</c:v>
                </c:pt>
                <c:pt idx="43">
                  <c:v>86.7</c:v>
                </c:pt>
                <c:pt idx="44">
                  <c:v>86.1</c:v>
                </c:pt>
                <c:pt idx="45">
                  <c:v>85.5</c:v>
                </c:pt>
                <c:pt idx="46">
                  <c:v>86</c:v>
                </c:pt>
                <c:pt idx="47">
                  <c:v>86.2</c:v>
                </c:pt>
                <c:pt idx="48">
                  <c:v>86.8</c:v>
                </c:pt>
                <c:pt idx="49">
                  <c:v>87.7</c:v>
                </c:pt>
                <c:pt idx="50">
                  <c:v>88.2</c:v>
                </c:pt>
                <c:pt idx="51">
                  <c:v>87.9</c:v>
                </c:pt>
                <c:pt idx="52">
                  <c:v>88.6</c:v>
                </c:pt>
                <c:pt idx="53">
                  <c:v>89</c:v>
                </c:pt>
                <c:pt idx="54">
                  <c:v>89.4</c:v>
                </c:pt>
                <c:pt idx="55">
                  <c:v>89.7</c:v>
                </c:pt>
                <c:pt idx="56">
                  <c:v>90.6</c:v>
                </c:pt>
                <c:pt idx="57">
                  <c:v>90.2</c:v>
                </c:pt>
                <c:pt idx="58">
                  <c:v>90.5</c:v>
                </c:pt>
                <c:pt idx="59">
                  <c:v>91.4</c:v>
                </c:pt>
                <c:pt idx="60">
                  <c:v>91.3</c:v>
                </c:pt>
                <c:pt idx="61">
                  <c:v>92.1</c:v>
                </c:pt>
                <c:pt idx="62">
                  <c:v>92.4</c:v>
                </c:pt>
                <c:pt idx="63">
                  <c:v>92.9</c:v>
                </c:pt>
                <c:pt idx="64">
                  <c:v>93.8</c:v>
                </c:pt>
                <c:pt idx="65">
                  <c:v>94.7</c:v>
                </c:pt>
                <c:pt idx="66">
                  <c:v>95.7</c:v>
                </c:pt>
                <c:pt idx="67">
                  <c:v>96.1</c:v>
                </c:pt>
                <c:pt idx="68">
                  <c:v>96.2</c:v>
                </c:pt>
                <c:pt idx="69">
                  <c:v>96.2</c:v>
                </c:pt>
                <c:pt idx="70">
                  <c:v>96.2</c:v>
                </c:pt>
                <c:pt idx="71">
                  <c:v>96.5</c:v>
                </c:pt>
                <c:pt idx="72">
                  <c:v>96.8</c:v>
                </c:pt>
                <c:pt idx="73">
                  <c:v>96.7</c:v>
                </c:pt>
                <c:pt idx="74">
                  <c:v>97.2</c:v>
                </c:pt>
                <c:pt idx="75">
                  <c:v>96.9</c:v>
                </c:pt>
                <c:pt idx="76">
                  <c:v>98.2</c:v>
                </c:pt>
                <c:pt idx="77">
                  <c:v>98.9</c:v>
                </c:pt>
                <c:pt idx="78">
                  <c:v>99.5</c:v>
                </c:pt>
                <c:pt idx="79">
                  <c:v>99.6</c:v>
                </c:pt>
                <c:pt idx="80">
                  <c:v>99.5</c:v>
                </c:pt>
                <c:pt idx="81">
                  <c:v>99.6</c:v>
                </c:pt>
                <c:pt idx="82">
                  <c:v>99.4</c:v>
                </c:pt>
                <c:pt idx="83">
                  <c:v>99.1</c:v>
                </c:pt>
                <c:pt idx="84">
                  <c:v>99.2</c:v>
                </c:pt>
                <c:pt idx="85">
                  <c:v>100</c:v>
                </c:pt>
                <c:pt idx="86">
                  <c:v>100.3</c:v>
                </c:pt>
                <c:pt idx="87">
                  <c:v>100.5</c:v>
                </c:pt>
                <c:pt idx="88">
                  <c:v>97.4</c:v>
                </c:pt>
                <c:pt idx="89">
                  <c:v>75.5</c:v>
                </c:pt>
                <c:pt idx="90">
                  <c:v>88.8</c:v>
                </c:pt>
                <c:pt idx="91">
                  <c:v>90.2</c:v>
                </c:pt>
                <c:pt idx="92">
                  <c:v>89.1</c:v>
                </c:pt>
                <c:pt idx="93">
                  <c:v>96</c:v>
                </c:pt>
                <c:pt idx="94">
                  <c:v>98.3</c:v>
                </c:pt>
                <c:pt idx="95">
                  <c:v>100.7</c:v>
                </c:pt>
                <c:pt idx="96">
                  <c:v>101.6</c:v>
                </c:pt>
                <c:pt idx="97">
                  <c:v>101.7</c:v>
                </c:pt>
                <c:pt idx="98">
                  <c:v>101.5</c:v>
                </c:pt>
                <c:pt idx="99">
                  <c:v>101.9</c:v>
                </c:pt>
                <c:pt idx="100">
                  <c:v>102.1</c:v>
                </c:pt>
                <c:pt idx="101">
                  <c:v>101.8</c:v>
                </c:pt>
                <c:pt idx="102">
                  <c:v>102.2</c:v>
                </c:pt>
                <c:pt idx="103" formatCode="General">
                  <c:v>101.6</c:v>
                </c:pt>
              </c:numCache>
            </c:numRef>
          </c:val>
          <c:smooth val="0"/>
          <c:extLst>
            <c:ext xmlns:c16="http://schemas.microsoft.com/office/drawing/2014/chart" uri="{C3380CC4-5D6E-409C-BE32-E72D297353CC}">
              <c16:uniqueId val="{00000000-7D30-4DEB-890B-238CEF19F514}"/>
            </c:ext>
          </c:extLst>
        </c:ser>
        <c:ser>
          <c:idx val="0"/>
          <c:order val="1"/>
          <c:tx>
            <c:strRef>
              <c:f>'Table 4new'!$B$12</c:f>
              <c:strCache>
                <c:ptCount val="1"/>
                <c:pt idx="0">
                  <c:v>Sustainable Tourism (Tourism related Industries)</c:v>
                </c:pt>
              </c:strCache>
            </c:strRef>
          </c:tx>
          <c:spPr>
            <a:ln w="44450" cap="rnd">
              <a:solidFill>
                <a:srgbClr val="1C655F"/>
              </a:solidFill>
              <a:prstDash val="solid"/>
              <a:round/>
            </a:ln>
            <a:effectLst/>
          </c:spPr>
          <c:marker>
            <c:symbol val="none"/>
          </c:marker>
          <c:cat>
            <c:numRef>
              <c:f>Sheet1!$A$2:$CW$2</c:f>
              <c:numCache>
                <c:formatCode>General</c:formatCode>
                <c:ptCount val="101"/>
                <c:pt idx="0">
                  <c:v>1998</c:v>
                </c:pt>
                <c:pt idx="4">
                  <c:v>1999</c:v>
                </c:pt>
                <c:pt idx="8">
                  <c:v>2000</c:v>
                </c:pt>
                <c:pt idx="12">
                  <c:v>2001</c:v>
                </c:pt>
                <c:pt idx="16">
                  <c:v>2002</c:v>
                </c:pt>
                <c:pt idx="20">
                  <c:v>2003</c:v>
                </c:pt>
                <c:pt idx="24">
                  <c:v>2004</c:v>
                </c:pt>
                <c:pt idx="28">
                  <c:v>2005</c:v>
                </c:pt>
                <c:pt idx="32">
                  <c:v>2006</c:v>
                </c:pt>
                <c:pt idx="36">
                  <c:v>2007</c:v>
                </c:pt>
                <c:pt idx="40">
                  <c:v>2008</c:v>
                </c:pt>
                <c:pt idx="44">
                  <c:v>2009</c:v>
                </c:pt>
                <c:pt idx="48">
                  <c:v>2010</c:v>
                </c:pt>
                <c:pt idx="52">
                  <c:v>2011</c:v>
                </c:pt>
                <c:pt idx="56">
                  <c:v>2012</c:v>
                </c:pt>
                <c:pt idx="60">
                  <c:v>2013</c:v>
                </c:pt>
                <c:pt idx="64">
                  <c:v>2014</c:v>
                </c:pt>
                <c:pt idx="68">
                  <c:v>2015</c:v>
                </c:pt>
                <c:pt idx="72">
                  <c:v>2016</c:v>
                </c:pt>
                <c:pt idx="76">
                  <c:v>2017</c:v>
                </c:pt>
                <c:pt idx="80">
                  <c:v>2018</c:v>
                </c:pt>
                <c:pt idx="84">
                  <c:v>2019</c:v>
                </c:pt>
                <c:pt idx="88">
                  <c:v>2020</c:v>
                </c:pt>
                <c:pt idx="92">
                  <c:v>2021</c:v>
                </c:pt>
                <c:pt idx="96">
                  <c:v>2022</c:v>
                </c:pt>
                <c:pt idx="100">
                  <c:v>2023</c:v>
                </c:pt>
              </c:numCache>
            </c:numRef>
          </c:cat>
          <c:val>
            <c:numRef>
              <c:f>'Table 4new'!$C$12:$DB$12</c:f>
              <c:numCache>
                <c:formatCode>0.0</c:formatCode>
                <c:ptCount val="104"/>
                <c:pt idx="0">
                  <c:v>93.2</c:v>
                </c:pt>
                <c:pt idx="1">
                  <c:v>97.7</c:v>
                </c:pt>
                <c:pt idx="2">
                  <c:v>94.7</c:v>
                </c:pt>
                <c:pt idx="3">
                  <c:v>88.3</c:v>
                </c:pt>
                <c:pt idx="4">
                  <c:v>84.2</c:v>
                </c:pt>
                <c:pt idx="5">
                  <c:v>88.2</c:v>
                </c:pt>
                <c:pt idx="6">
                  <c:v>84.6</c:v>
                </c:pt>
                <c:pt idx="7">
                  <c:v>83.9</c:v>
                </c:pt>
                <c:pt idx="8">
                  <c:v>82.7</c:v>
                </c:pt>
                <c:pt idx="9">
                  <c:v>82.2</c:v>
                </c:pt>
                <c:pt idx="10">
                  <c:v>79.5</c:v>
                </c:pt>
                <c:pt idx="11">
                  <c:v>82.8</c:v>
                </c:pt>
                <c:pt idx="12">
                  <c:v>83.4</c:v>
                </c:pt>
                <c:pt idx="13">
                  <c:v>88.3</c:v>
                </c:pt>
                <c:pt idx="14">
                  <c:v>88.3</c:v>
                </c:pt>
                <c:pt idx="15">
                  <c:v>90.1</c:v>
                </c:pt>
                <c:pt idx="16">
                  <c:v>87</c:v>
                </c:pt>
                <c:pt idx="17">
                  <c:v>87.6</c:v>
                </c:pt>
                <c:pt idx="18">
                  <c:v>91.3</c:v>
                </c:pt>
                <c:pt idx="19">
                  <c:v>91</c:v>
                </c:pt>
                <c:pt idx="20">
                  <c:v>92.4</c:v>
                </c:pt>
                <c:pt idx="21">
                  <c:v>93.1</c:v>
                </c:pt>
                <c:pt idx="22">
                  <c:v>88.5</c:v>
                </c:pt>
                <c:pt idx="23">
                  <c:v>92.3</c:v>
                </c:pt>
                <c:pt idx="24">
                  <c:v>94.8</c:v>
                </c:pt>
                <c:pt idx="25">
                  <c:v>97.2</c:v>
                </c:pt>
                <c:pt idx="26">
                  <c:v>89.9</c:v>
                </c:pt>
                <c:pt idx="27">
                  <c:v>97.8</c:v>
                </c:pt>
                <c:pt idx="28">
                  <c:v>99.6</c:v>
                </c:pt>
                <c:pt idx="29">
                  <c:v>101.6</c:v>
                </c:pt>
                <c:pt idx="30">
                  <c:v>102.6</c:v>
                </c:pt>
                <c:pt idx="31">
                  <c:v>99.6</c:v>
                </c:pt>
                <c:pt idx="32">
                  <c:v>95.6</c:v>
                </c:pt>
                <c:pt idx="33">
                  <c:v>95</c:v>
                </c:pt>
                <c:pt idx="34">
                  <c:v>96</c:v>
                </c:pt>
                <c:pt idx="35">
                  <c:v>98.9</c:v>
                </c:pt>
                <c:pt idx="36">
                  <c:v>95.7</c:v>
                </c:pt>
                <c:pt idx="37">
                  <c:v>96.9</c:v>
                </c:pt>
                <c:pt idx="38">
                  <c:v>95.5</c:v>
                </c:pt>
                <c:pt idx="39">
                  <c:v>94.2</c:v>
                </c:pt>
                <c:pt idx="40">
                  <c:v>96.4</c:v>
                </c:pt>
                <c:pt idx="41">
                  <c:v>96.6</c:v>
                </c:pt>
                <c:pt idx="42">
                  <c:v>94.2</c:v>
                </c:pt>
                <c:pt idx="43">
                  <c:v>94.5</c:v>
                </c:pt>
                <c:pt idx="44">
                  <c:v>94.6</c:v>
                </c:pt>
                <c:pt idx="45">
                  <c:v>92.9</c:v>
                </c:pt>
                <c:pt idx="46">
                  <c:v>90.5</c:v>
                </c:pt>
                <c:pt idx="47">
                  <c:v>91.2</c:v>
                </c:pt>
                <c:pt idx="48">
                  <c:v>91.8</c:v>
                </c:pt>
                <c:pt idx="49">
                  <c:v>90.3</c:v>
                </c:pt>
                <c:pt idx="50">
                  <c:v>92.2</c:v>
                </c:pt>
                <c:pt idx="51">
                  <c:v>91.6</c:v>
                </c:pt>
                <c:pt idx="52">
                  <c:v>92</c:v>
                </c:pt>
                <c:pt idx="53">
                  <c:v>91.3</c:v>
                </c:pt>
                <c:pt idx="54">
                  <c:v>90.3</c:v>
                </c:pt>
                <c:pt idx="55">
                  <c:v>91</c:v>
                </c:pt>
                <c:pt idx="56">
                  <c:v>89.1</c:v>
                </c:pt>
                <c:pt idx="57">
                  <c:v>90.5</c:v>
                </c:pt>
                <c:pt idx="58">
                  <c:v>90</c:v>
                </c:pt>
                <c:pt idx="59">
                  <c:v>89</c:v>
                </c:pt>
                <c:pt idx="60">
                  <c:v>87.7</c:v>
                </c:pt>
                <c:pt idx="61">
                  <c:v>90</c:v>
                </c:pt>
                <c:pt idx="62">
                  <c:v>88.1</c:v>
                </c:pt>
                <c:pt idx="63">
                  <c:v>89.7</c:v>
                </c:pt>
                <c:pt idx="64">
                  <c:v>90</c:v>
                </c:pt>
                <c:pt idx="65">
                  <c:v>90.3</c:v>
                </c:pt>
                <c:pt idx="66">
                  <c:v>95.7</c:v>
                </c:pt>
                <c:pt idx="67">
                  <c:v>91.3</c:v>
                </c:pt>
                <c:pt idx="68">
                  <c:v>92.5</c:v>
                </c:pt>
                <c:pt idx="69">
                  <c:v>92.2</c:v>
                </c:pt>
                <c:pt idx="70">
                  <c:v>94.5</c:v>
                </c:pt>
                <c:pt idx="71">
                  <c:v>95.3</c:v>
                </c:pt>
                <c:pt idx="72">
                  <c:v>97.7</c:v>
                </c:pt>
                <c:pt idx="73">
                  <c:v>95.9</c:v>
                </c:pt>
                <c:pt idx="74">
                  <c:v>93.7</c:v>
                </c:pt>
                <c:pt idx="75">
                  <c:v>93.5</c:v>
                </c:pt>
                <c:pt idx="76">
                  <c:v>94.6</c:v>
                </c:pt>
                <c:pt idx="77">
                  <c:v>96</c:v>
                </c:pt>
                <c:pt idx="78">
                  <c:v>95.9</c:v>
                </c:pt>
                <c:pt idx="79">
                  <c:v>97</c:v>
                </c:pt>
                <c:pt idx="80">
                  <c:v>98.6</c:v>
                </c:pt>
                <c:pt idx="81">
                  <c:v>101</c:v>
                </c:pt>
                <c:pt idx="82">
                  <c:v>101</c:v>
                </c:pt>
                <c:pt idx="83">
                  <c:v>97.5</c:v>
                </c:pt>
                <c:pt idx="84">
                  <c:v>98.8</c:v>
                </c:pt>
                <c:pt idx="85">
                  <c:v>99.5</c:v>
                </c:pt>
                <c:pt idx="86">
                  <c:v>100.5</c:v>
                </c:pt>
                <c:pt idx="87">
                  <c:v>101.2</c:v>
                </c:pt>
                <c:pt idx="88">
                  <c:v>89.8</c:v>
                </c:pt>
                <c:pt idx="89">
                  <c:v>17.5</c:v>
                </c:pt>
                <c:pt idx="90">
                  <c:v>62</c:v>
                </c:pt>
                <c:pt idx="91">
                  <c:v>46.5</c:v>
                </c:pt>
                <c:pt idx="92">
                  <c:v>38.200000000000003</c:v>
                </c:pt>
                <c:pt idx="93">
                  <c:v>57.6</c:v>
                </c:pt>
                <c:pt idx="94">
                  <c:v>83.2</c:v>
                </c:pt>
                <c:pt idx="95">
                  <c:v>87.9</c:v>
                </c:pt>
                <c:pt idx="96">
                  <c:v>91.3</c:v>
                </c:pt>
                <c:pt idx="97">
                  <c:v>93.5</c:v>
                </c:pt>
                <c:pt idx="98">
                  <c:v>94.4</c:v>
                </c:pt>
                <c:pt idx="99">
                  <c:v>96.1</c:v>
                </c:pt>
                <c:pt idx="100">
                  <c:v>97.6</c:v>
                </c:pt>
                <c:pt idx="101">
                  <c:v>99</c:v>
                </c:pt>
                <c:pt idx="102">
                  <c:v>98.2</c:v>
                </c:pt>
                <c:pt idx="103">
                  <c:v>99.2</c:v>
                </c:pt>
              </c:numCache>
            </c:numRef>
          </c:val>
          <c:smooth val="0"/>
          <c:extLst>
            <c:ext xmlns:c16="http://schemas.microsoft.com/office/drawing/2014/chart" uri="{C3380CC4-5D6E-409C-BE32-E72D297353CC}">
              <c16:uniqueId val="{00000001-7D30-4DEB-890B-238CEF19F514}"/>
            </c:ext>
          </c:extLst>
        </c:ser>
        <c:dLbls>
          <c:showLegendKey val="0"/>
          <c:showVal val="0"/>
          <c:showCatName val="0"/>
          <c:showSerName val="0"/>
          <c:showPercent val="0"/>
          <c:showBubbleSize val="0"/>
        </c:dLbls>
        <c:smooth val="0"/>
        <c:axId val="598340280"/>
        <c:axId val="730896784"/>
      </c:lineChart>
      <c:catAx>
        <c:axId val="598340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30896784"/>
        <c:crosses val="autoZero"/>
        <c:auto val="1"/>
        <c:lblAlgn val="ctr"/>
        <c:lblOffset val="100"/>
        <c:noMultiLvlLbl val="0"/>
      </c:catAx>
      <c:valAx>
        <c:axId val="730896784"/>
        <c:scaling>
          <c:orientation val="minMax"/>
          <c:max val="120"/>
          <c:min val="0"/>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GB"/>
                  <a:t>GDP Index (2019= 100)</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59834028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aseline="0">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Growth Sector Briefing - Sustainable Tourism</vt:lpstr>
    </vt:vector>
  </TitlesOfParts>
  <Company>Scottish Government</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Sector Briefing - Sustainable Tourism</dc:title>
  <dc:creator>Office of the Chief Economic Adviser</dc:creator>
  <cp:lastModifiedBy>Marina Curran</cp:lastModifiedBy>
  <cp:revision>76</cp:revision>
  <dcterms:created xsi:type="dcterms:W3CDTF">2020-12-02T08:46:00Z</dcterms:created>
  <dcterms:modified xsi:type="dcterms:W3CDTF">2024-03-11T10:46:00Z</dcterms:modified>
</cp:coreProperties>
</file>