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ED4B" w14:textId="77777777" w:rsidR="00E64550" w:rsidRDefault="0054760A">
      <w:pPr>
        <w:pStyle w:val="Title"/>
      </w:pPr>
      <w:r>
        <w:t>Growth Sector Briefing - Life Sciences</w:t>
      </w:r>
    </w:p>
    <w:p w14:paraId="35530D52" w14:textId="77777777" w:rsidR="00E64550" w:rsidRDefault="0054760A">
      <w:pPr>
        <w:pStyle w:val="Author"/>
      </w:pPr>
      <w:r>
        <w:t>Office of the Chief Economic Adviser</w:t>
      </w:r>
    </w:p>
    <w:p w14:paraId="4E32C9AC" w14:textId="69516D58" w:rsidR="002376C8" w:rsidRDefault="00F00DB8" w:rsidP="002376C8">
      <w:pPr>
        <w:pStyle w:val="Date"/>
      </w:pPr>
      <w:bookmarkStart w:id="0" w:name="growth-sector-definition"/>
      <w:bookmarkEnd w:id="0"/>
      <w:r>
        <w:t>14</w:t>
      </w:r>
      <w:r w:rsidR="00F02947">
        <w:t xml:space="preserve"> </w:t>
      </w:r>
      <w:r w:rsidR="0081595C">
        <w:t>March</w:t>
      </w:r>
      <w:r w:rsidR="00391018">
        <w:t xml:space="preserve"> </w:t>
      </w:r>
      <w:r w:rsidR="00C85BCE">
        <w:t>202</w:t>
      </w:r>
      <w:r w:rsidR="0081595C">
        <w:t>4</w:t>
      </w:r>
    </w:p>
    <w:p w14:paraId="0D6F9EE2" w14:textId="77777777" w:rsidR="00E64550" w:rsidRDefault="0054760A">
      <w:pPr>
        <w:pStyle w:val="Heading1"/>
      </w:pPr>
      <w:r>
        <w:t>Growth Sector Definition</w:t>
      </w:r>
    </w:p>
    <w:p w14:paraId="0E2EFDF3" w14:textId="68EE2FFD" w:rsidR="00762E9D" w:rsidRDefault="0054760A" w:rsidP="00762E9D">
      <w:pPr>
        <w:pStyle w:val="FirstParagraph"/>
      </w:pPr>
      <w:r>
        <w:t xml:space="preserve">Life Sciences was identified in </w:t>
      </w:r>
      <w:r w:rsidR="00B57B90">
        <w:t xml:space="preserve">Scotland’s Economic Strategy (2015) </w:t>
      </w:r>
      <w:r>
        <w:t>as one of the growth sectors in which Scotland can build on existing comparative advantage and increase productivity and growth. The term Life Sciences reflects a wide range of activity including the discovery, research, development and manufacture of therapeutics; diagnostics; medical devices and platform technologies as well as the specialist suppliers of products and services necessary for these</w:t>
      </w:r>
      <w:r w:rsidRPr="002E1883">
        <w:rPr>
          <w:lang w:val="en-GB"/>
        </w:rPr>
        <w:t xml:space="preserve"> organisations</w:t>
      </w:r>
      <w:r>
        <w:t xml:space="preserve"> to function. As such it is not possible to specifically define the industry in terms of SIC codes. However, a set of SIC codes (outlined below) can be used to track changes in part of the Scottish Life Sciences growth sector over time.</w:t>
      </w:r>
    </w:p>
    <w:p w14:paraId="3BD10F72" w14:textId="5CA3A9A9" w:rsidR="00E64550" w:rsidRDefault="0054760A" w:rsidP="00762E9D">
      <w:pPr>
        <w:pStyle w:val="FirstParagraph"/>
      </w:pPr>
      <w:r>
        <w:t>The Life Sciences growth sector is defined by the Standard</w:t>
      </w:r>
      <w:r w:rsidR="00C07A20">
        <w:rPr>
          <w:lang w:val="en-GB"/>
        </w:rPr>
        <w:t xml:space="preserve"> Industrial</w:t>
      </w:r>
      <w:r>
        <w:t xml:space="preserve"> Classification (SIC) 2007 codes:</w:t>
      </w:r>
    </w:p>
    <w:p w14:paraId="5E4A5CC8" w14:textId="77777777" w:rsidR="00E64550" w:rsidRDefault="0054760A">
      <w:pPr>
        <w:pStyle w:val="BodyText"/>
      </w:pPr>
      <w:r>
        <w:t>SIC 21: Manufacture of basic pharmaceutical products and pharmaceutical preparations</w:t>
      </w:r>
    </w:p>
    <w:p w14:paraId="65D652B9" w14:textId="77777777" w:rsidR="00E64550" w:rsidRDefault="0054760A">
      <w:pPr>
        <w:pStyle w:val="BodyText"/>
      </w:pPr>
      <w:r>
        <w:t>SIC 26.6: Manufacture of irradiation,</w:t>
      </w:r>
      <w:r w:rsidRPr="002E1883">
        <w:rPr>
          <w:lang w:val="en-GB"/>
        </w:rPr>
        <w:t xml:space="preserve"> electromedical</w:t>
      </w:r>
      <w:r>
        <w:t xml:space="preserve"> and electrotherapeutic equipment</w:t>
      </w:r>
    </w:p>
    <w:p w14:paraId="6A307CE3" w14:textId="77777777" w:rsidR="00E64550" w:rsidRDefault="0054760A">
      <w:pPr>
        <w:pStyle w:val="BodyText"/>
      </w:pPr>
      <w:r>
        <w:t>SIC 32.5: Manufacture of medical and dental instruments and supplies</w:t>
      </w:r>
    </w:p>
    <w:p w14:paraId="61341011" w14:textId="77777777" w:rsidR="00E64550" w:rsidRDefault="0054760A">
      <w:pPr>
        <w:pStyle w:val="BodyText"/>
      </w:pPr>
      <w:r>
        <w:t>SIC 72.11: Research and experimental development on biotechnology</w:t>
      </w:r>
    </w:p>
    <w:p w14:paraId="255942D4" w14:textId="77777777" w:rsidR="00E64550" w:rsidRDefault="0054760A">
      <w:pPr>
        <w:pStyle w:val="BodyText"/>
      </w:pPr>
      <w:r>
        <w:t>SIC 72.19: Other research and experimental development on natural sciences and engineering</w:t>
      </w:r>
    </w:p>
    <w:p w14:paraId="6C659302" w14:textId="77777777" w:rsidR="00E64550" w:rsidRDefault="0054760A">
      <w:pPr>
        <w:pStyle w:val="BodyText"/>
      </w:pPr>
      <w:r>
        <w:t xml:space="preserve">An alternative source for measuring the economic activity of the Life Sciences sector can be derived from a Scottish Enterprise maintained database of businesses involved in Life Sciences activities in Scotland – including animal health, human health, agricultural and marine biotechnology. This </w:t>
      </w:r>
      <w:hyperlink r:id="rId7">
        <w:r>
          <w:rPr>
            <w:rStyle w:val="Hyperlink"/>
          </w:rPr>
          <w:t>database</w:t>
        </w:r>
      </w:hyperlink>
      <w:r>
        <w:t xml:space="preserve"> encompasses the wider range of life science businesses and includes professional service businesses that support the Life Sciences sector e.g. legal services. This broad approach to defining Life Sciences is therefore based on the businesses identified directly to be part of the life sciences sector or, in some cases, businesses which provide services to the sector through its supply chain, however, some of the companies in the wider supply chain may also provide services to other sectors. Scottish Enterprise supplies the Scottish Government with its Life Sciences database each year so that estimates of turnover and GVA can be sourced by matching the Life Sciences database with financial and employment data from the Annual Business Survey.</w:t>
      </w:r>
    </w:p>
    <w:p w14:paraId="0FC5A552" w14:textId="77777777" w:rsidR="00E64550" w:rsidRDefault="0054760A">
      <w:pPr>
        <w:pStyle w:val="BodyText"/>
      </w:pPr>
      <w:r>
        <w:t>This briefing will provide data from both of these sources, where appropriate.</w:t>
      </w:r>
    </w:p>
    <w:p w14:paraId="2C63FC5A" w14:textId="77777777" w:rsidR="00E64550" w:rsidRDefault="0054760A">
      <w:pPr>
        <w:pStyle w:val="Heading1"/>
      </w:pPr>
      <w:bookmarkStart w:id="1" w:name="key-statistics"/>
      <w:bookmarkEnd w:id="1"/>
      <w:r>
        <w:lastRenderedPageBreak/>
        <w:t>Key Statistics</w:t>
      </w:r>
    </w:p>
    <w:p w14:paraId="12D4E011" w14:textId="4D7ADCBD" w:rsidR="002376C8" w:rsidRDefault="002376C8" w:rsidP="002376C8">
      <w:pPr>
        <w:pStyle w:val="Heading2"/>
      </w:pPr>
      <w:bookmarkStart w:id="2" w:name="recent-trends-in-gdp-2020q1"/>
      <w:bookmarkEnd w:id="2"/>
      <w:r>
        <w:t>Recent trends in GDP (</w:t>
      </w:r>
      <w:r w:rsidR="003C233C">
        <w:t xml:space="preserve">2023 </w:t>
      </w:r>
      <w:r w:rsidR="00E736D6">
        <w:t>Q</w:t>
      </w:r>
      <w:r w:rsidR="00311FBC">
        <w:t>4</w:t>
      </w:r>
      <w:r>
        <w:t>)</w:t>
      </w:r>
      <w:r w:rsidR="00311FBC">
        <w:t xml:space="preserve"> </w:t>
      </w:r>
    </w:p>
    <w:p w14:paraId="0BA497B6" w14:textId="4B17C53B" w:rsidR="002376C8" w:rsidRDefault="002376C8" w:rsidP="002376C8">
      <w:pPr>
        <w:pStyle w:val="FirstParagraph"/>
      </w:pPr>
      <w:r>
        <w:rPr>
          <w:i/>
        </w:rPr>
        <w:t xml:space="preserve">Updated </w:t>
      </w:r>
      <w:r w:rsidR="0081595C">
        <w:rPr>
          <w:i/>
        </w:rPr>
        <w:t>March 2024</w:t>
      </w:r>
      <w:r>
        <w:rPr>
          <w:i/>
        </w:rPr>
        <w:t xml:space="preserve">, next update </w:t>
      </w:r>
      <w:r w:rsidR="0081595C">
        <w:rPr>
          <w:i/>
        </w:rPr>
        <w:t>June</w:t>
      </w:r>
      <w:r w:rsidR="00E736D6">
        <w:rPr>
          <w:i/>
        </w:rPr>
        <w:t xml:space="preserve"> 2024</w:t>
      </w:r>
    </w:p>
    <w:p w14:paraId="1289E546" w14:textId="739BE817" w:rsidR="00311FBC" w:rsidRDefault="0054760A">
      <w:pPr>
        <w:pStyle w:val="BodyText"/>
      </w:pPr>
      <w:r>
        <w:t>The latest GDP data</w:t>
      </w:r>
      <w:r>
        <w:rPr>
          <w:rStyle w:val="FootnoteReference"/>
        </w:rPr>
        <w:footnoteReference w:id="1"/>
      </w:r>
      <w:r>
        <w:t xml:space="preserve"> show that output in the Life Sciences growth sector </w:t>
      </w:r>
      <w:r w:rsidR="00311FBC">
        <w:t>in</w:t>
      </w:r>
      <w:r w:rsidR="00E736D6">
        <w:t xml:space="preserve">creased </w:t>
      </w:r>
      <w:r>
        <w:t xml:space="preserve">by </w:t>
      </w:r>
      <w:r w:rsidR="00311FBC">
        <w:t>0</w:t>
      </w:r>
      <w:r w:rsidR="00883A3E">
        <w:t>.</w:t>
      </w:r>
      <w:r w:rsidR="00311FBC">
        <w:t>5</w:t>
      </w:r>
      <w:r w:rsidR="00E45096">
        <w:t xml:space="preserve">% </w:t>
      </w:r>
      <w:r>
        <w:t xml:space="preserve">in the most recent quarter, whereas output across the economy as a whole </w:t>
      </w:r>
      <w:r w:rsidR="00311FBC">
        <w:t>de</w:t>
      </w:r>
      <w:r w:rsidR="00E736D6">
        <w:t xml:space="preserve">creased </w:t>
      </w:r>
      <w:r w:rsidR="00661382">
        <w:t>by 0.</w:t>
      </w:r>
      <w:r w:rsidR="00311FBC">
        <w:t>6</w:t>
      </w:r>
      <w:r w:rsidR="00661382">
        <w:t>%</w:t>
      </w:r>
      <w:r w:rsidR="00E45096">
        <w:t xml:space="preserve">. </w:t>
      </w:r>
      <w:r w:rsidR="0032357B">
        <w:t>Compared with the same quarter in the previous year</w:t>
      </w:r>
      <w:r>
        <w:t xml:space="preserve">, output in this sector </w:t>
      </w:r>
      <w:r w:rsidR="00E736D6">
        <w:t xml:space="preserve">decreased </w:t>
      </w:r>
      <w:r>
        <w:t xml:space="preserve">by </w:t>
      </w:r>
      <w:r w:rsidR="00311FBC">
        <w:t>5</w:t>
      </w:r>
      <w:r w:rsidR="00E736D6">
        <w:t>.</w:t>
      </w:r>
      <w:r w:rsidR="00311FBC">
        <w:t>8</w:t>
      </w:r>
      <w:r w:rsidR="00E45096">
        <w:t xml:space="preserve">%, </w:t>
      </w:r>
      <w:r w:rsidR="00311FBC">
        <w:t>with</w:t>
      </w:r>
      <w:r w:rsidR="00477DDA">
        <w:t xml:space="preserve"> output across</w:t>
      </w:r>
      <w:r w:rsidR="00661382">
        <w:t xml:space="preserve"> </w:t>
      </w:r>
      <w:r>
        <w:t>the economy as a whole</w:t>
      </w:r>
      <w:r w:rsidR="00477DDA">
        <w:t xml:space="preserve"> </w:t>
      </w:r>
      <w:r w:rsidR="00311FBC">
        <w:t>de</w:t>
      </w:r>
      <w:r w:rsidR="00E736D6">
        <w:t>creas</w:t>
      </w:r>
      <w:r w:rsidR="00311FBC">
        <w:t>ing</w:t>
      </w:r>
      <w:r w:rsidR="00E736D6">
        <w:t xml:space="preserve"> </w:t>
      </w:r>
      <w:r w:rsidR="00477DDA">
        <w:t xml:space="preserve">by </w:t>
      </w:r>
      <w:r w:rsidR="00900785">
        <w:t>0.</w:t>
      </w:r>
      <w:r w:rsidR="00311FBC">
        <w:t>3</w:t>
      </w:r>
      <w:r w:rsidR="00477DDA">
        <w:t>%</w:t>
      </w:r>
      <w:r w:rsidR="00661382">
        <w:t xml:space="preserve">, </w:t>
      </w:r>
      <w:r w:rsidR="0032357B">
        <w:t xml:space="preserve">comparing </w:t>
      </w:r>
      <w:r w:rsidR="00E736D6">
        <w:t>Q</w:t>
      </w:r>
      <w:r w:rsidR="00311FBC">
        <w:t>4</w:t>
      </w:r>
      <w:r w:rsidR="00E736D6">
        <w:t xml:space="preserve"> </w:t>
      </w:r>
      <w:r w:rsidR="003C233C">
        <w:t xml:space="preserve">2023 </w:t>
      </w:r>
      <w:r w:rsidR="0032357B">
        <w:t xml:space="preserve">to </w:t>
      </w:r>
      <w:r w:rsidR="00E736D6">
        <w:t>Q</w:t>
      </w:r>
      <w:r w:rsidR="00311FBC">
        <w:t>4</w:t>
      </w:r>
      <w:r w:rsidR="00E736D6">
        <w:t xml:space="preserve"> </w:t>
      </w:r>
      <w:r w:rsidR="003C233C">
        <w:t>202</w:t>
      </w:r>
      <w:r w:rsidR="00756DE8">
        <w:t>2</w:t>
      </w:r>
      <w:r w:rsidR="00E45096">
        <w:t>.</w:t>
      </w:r>
    </w:p>
    <w:p w14:paraId="19A7A340" w14:textId="18B13596" w:rsidR="00311FBC" w:rsidRDefault="00311FBC">
      <w:pPr>
        <w:pStyle w:val="BodyText"/>
      </w:pPr>
      <w:r>
        <w:rPr>
          <w:noProof/>
        </w:rPr>
        <w:drawing>
          <wp:inline distT="0" distB="0" distL="0" distR="0" wp14:anchorId="616182F9" wp14:editId="3548AC46">
            <wp:extent cx="5943600" cy="3133725"/>
            <wp:effectExtent l="0" t="0" r="0" b="0"/>
            <wp:docPr id="2021130529" name="Chart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D2E22D" w14:textId="4005BC0B" w:rsidR="00E736D6" w:rsidRDefault="00E736D6">
      <w:pPr>
        <w:pStyle w:val="BodyText"/>
      </w:pPr>
    </w:p>
    <w:p w14:paraId="154966CF" w14:textId="34E72210" w:rsidR="007E3DF9" w:rsidRDefault="007E3DF9">
      <w:pPr>
        <w:pStyle w:val="BodyText"/>
      </w:pPr>
    </w:p>
    <w:p w14:paraId="3A2A9C5F" w14:textId="43249314" w:rsidR="00E64550" w:rsidRDefault="00EC53B5">
      <w:pPr>
        <w:pStyle w:val="Heading2"/>
      </w:pPr>
      <w:bookmarkStart w:id="3" w:name="employment-2018"/>
      <w:bookmarkEnd w:id="3"/>
      <w:r>
        <w:t>Employment (</w:t>
      </w:r>
      <w:r w:rsidR="00391018">
        <w:t>2022</w:t>
      </w:r>
      <w:r w:rsidR="0054760A">
        <w:t>)</w:t>
      </w:r>
    </w:p>
    <w:p w14:paraId="0FBDA9ED" w14:textId="312A07C1" w:rsidR="00E64550" w:rsidRDefault="0054760A">
      <w:pPr>
        <w:pStyle w:val="FirstParagraph"/>
      </w:pPr>
      <w:r>
        <w:rPr>
          <w:i/>
        </w:rPr>
        <w:t xml:space="preserve">Updated </w:t>
      </w:r>
      <w:r w:rsidR="00391018">
        <w:rPr>
          <w:i/>
        </w:rPr>
        <w:t>November 2023</w:t>
      </w:r>
      <w:r w:rsidR="002070B4">
        <w:rPr>
          <w:i/>
        </w:rPr>
        <w:t xml:space="preserve">, next update </w:t>
      </w:r>
      <w:r w:rsidR="00A070AF">
        <w:rPr>
          <w:i/>
        </w:rPr>
        <w:t>November</w:t>
      </w:r>
      <w:r w:rsidR="00177A02">
        <w:rPr>
          <w:i/>
        </w:rPr>
        <w:t xml:space="preserve"> </w:t>
      </w:r>
      <w:r w:rsidR="00391018">
        <w:rPr>
          <w:i/>
        </w:rPr>
        <w:t>2024</w:t>
      </w:r>
    </w:p>
    <w:p w14:paraId="7A2CB286" w14:textId="15D82BC0" w:rsidR="00E64550" w:rsidRDefault="0054760A">
      <w:pPr>
        <w:pStyle w:val="BodyText"/>
      </w:pPr>
      <w:r>
        <w:t>Employment in the Life S</w:t>
      </w:r>
      <w:r w:rsidR="00EC53B5">
        <w:t xml:space="preserve">ciences growth sector stood at </w:t>
      </w:r>
      <w:r w:rsidR="00391018">
        <w:t>23</w:t>
      </w:r>
      <w:r>
        <w:t xml:space="preserve">,000 </w:t>
      </w:r>
      <w:r w:rsidR="00EC53B5">
        <w:t xml:space="preserve">in </w:t>
      </w:r>
      <w:r w:rsidR="00391018">
        <w:t>2022</w:t>
      </w:r>
      <w:r w:rsidR="00EC53B5">
        <w:t>, accounting for 0.</w:t>
      </w:r>
      <w:r w:rsidR="00391018">
        <w:t>9</w:t>
      </w:r>
      <w:r>
        <w:t xml:space="preserve">% of employment in Scotland and </w:t>
      </w:r>
      <w:r w:rsidR="00391018">
        <w:t>9.0</w:t>
      </w:r>
      <w:r>
        <w:t xml:space="preserve">% of employment in Life Sciences across Great Britain. Employment in this sector </w:t>
      </w:r>
      <w:r w:rsidR="00391018">
        <w:t xml:space="preserve">increased </w:t>
      </w:r>
      <w:r>
        <w:t xml:space="preserve">by </w:t>
      </w:r>
      <w:r w:rsidR="00391018">
        <w:t>27.8</w:t>
      </w:r>
      <w:r>
        <w:t>% over the latest year in Scotland.</w:t>
      </w:r>
    </w:p>
    <w:p w14:paraId="0AA9D297" w14:textId="77777777" w:rsidR="00EC53B5" w:rsidRDefault="00EC53B5">
      <w:pPr>
        <w:pStyle w:val="BodyText"/>
      </w:pPr>
    </w:p>
    <w:p w14:paraId="1FC9BF2F" w14:textId="0D1A2B31" w:rsidR="00E64550" w:rsidRDefault="00C9036D">
      <w:pPr>
        <w:pStyle w:val="Heading2"/>
      </w:pPr>
      <w:bookmarkStart w:id="4" w:name="employment-2017---life-sciences-cluster"/>
      <w:bookmarkEnd w:id="4"/>
      <w:r>
        <w:lastRenderedPageBreak/>
        <w:t>Employment (</w:t>
      </w:r>
      <w:r w:rsidR="0017364C">
        <w:t>202</w:t>
      </w:r>
      <w:r w:rsidR="00AF3806">
        <w:t>1</w:t>
      </w:r>
      <w:r w:rsidR="0054760A">
        <w:t>) - Life Sciences Cluster</w:t>
      </w:r>
    </w:p>
    <w:p w14:paraId="19B83555" w14:textId="32098E7D" w:rsidR="00E64550" w:rsidRDefault="002070B4">
      <w:pPr>
        <w:pStyle w:val="FirstParagraph"/>
      </w:pPr>
      <w:r>
        <w:rPr>
          <w:i/>
        </w:rPr>
        <w:t xml:space="preserve">Updated </w:t>
      </w:r>
      <w:r w:rsidR="0017364C">
        <w:rPr>
          <w:i/>
        </w:rPr>
        <w:t>March 202</w:t>
      </w:r>
      <w:r w:rsidR="0081595C">
        <w:rPr>
          <w:i/>
        </w:rPr>
        <w:t>4</w:t>
      </w:r>
      <w:r>
        <w:rPr>
          <w:i/>
        </w:rPr>
        <w:t xml:space="preserve">, next update </w:t>
      </w:r>
      <w:r w:rsidR="0017364C">
        <w:rPr>
          <w:i/>
        </w:rPr>
        <w:t>March 202</w:t>
      </w:r>
      <w:r w:rsidR="0081595C">
        <w:rPr>
          <w:i/>
        </w:rPr>
        <w:t>5</w:t>
      </w:r>
    </w:p>
    <w:p w14:paraId="4AE2CDC1" w14:textId="5BD33055" w:rsidR="00E64550" w:rsidRDefault="0054760A">
      <w:pPr>
        <w:pStyle w:val="BodyText"/>
      </w:pPr>
      <w:r>
        <w:t>The wider Life Sc</w:t>
      </w:r>
      <w:r w:rsidR="002070B4">
        <w:t xml:space="preserve">iences sector employs </w:t>
      </w:r>
      <w:r w:rsidR="0017364C">
        <w:t>4</w:t>
      </w:r>
      <w:r w:rsidR="00AF3806">
        <w:t>4</w:t>
      </w:r>
      <w:r w:rsidR="002070B4">
        <w:t>,</w:t>
      </w:r>
      <w:r w:rsidR="00AF3806">
        <w:t>2</w:t>
      </w:r>
      <w:r w:rsidR="0017364C">
        <w:t xml:space="preserve">00 </w:t>
      </w:r>
      <w:r>
        <w:t xml:space="preserve">people in businesses and </w:t>
      </w:r>
      <w:r w:rsidR="00FA6FB4">
        <w:t>Higher Education Institutions.</w:t>
      </w:r>
      <w:r>
        <w:rPr>
          <w:rStyle w:val="FootnoteReference"/>
        </w:rPr>
        <w:footnoteReference w:id="2"/>
      </w:r>
    </w:p>
    <w:p w14:paraId="79FC30B6" w14:textId="21133394" w:rsidR="00E64550" w:rsidRDefault="00EC53B5">
      <w:pPr>
        <w:pStyle w:val="Heading2"/>
      </w:pPr>
      <w:bookmarkStart w:id="5" w:name="employment-across-scotland-2018"/>
      <w:bookmarkEnd w:id="5"/>
      <w:r>
        <w:t>Employment across Scotland (</w:t>
      </w:r>
      <w:r w:rsidR="00391018">
        <w:t>2022</w:t>
      </w:r>
      <w:r w:rsidR="0054760A">
        <w:t>)</w:t>
      </w:r>
    </w:p>
    <w:p w14:paraId="667F8C04" w14:textId="4A165EE4" w:rsidR="00EC53B5" w:rsidRDefault="00EC53B5" w:rsidP="00EC53B5">
      <w:pPr>
        <w:pStyle w:val="FirstParagraph"/>
      </w:pPr>
      <w:r>
        <w:rPr>
          <w:i/>
        </w:rPr>
        <w:t xml:space="preserve">Updated </w:t>
      </w:r>
      <w:r w:rsidR="00391018">
        <w:rPr>
          <w:i/>
        </w:rPr>
        <w:t>November 2023</w:t>
      </w:r>
      <w:r>
        <w:rPr>
          <w:i/>
        </w:rPr>
        <w:t xml:space="preserve">, next update </w:t>
      </w:r>
      <w:r w:rsidR="00A070AF">
        <w:rPr>
          <w:i/>
        </w:rPr>
        <w:t>November</w:t>
      </w:r>
      <w:r w:rsidR="00177A02">
        <w:rPr>
          <w:i/>
        </w:rPr>
        <w:t xml:space="preserve"> </w:t>
      </w:r>
      <w:r w:rsidR="00391018">
        <w:rPr>
          <w:i/>
        </w:rPr>
        <w:t>2024</w:t>
      </w:r>
    </w:p>
    <w:p w14:paraId="3B25873A" w14:textId="615DA2FA" w:rsidR="00E64550" w:rsidRDefault="00EC53B5">
      <w:pPr>
        <w:pStyle w:val="BodyText"/>
      </w:pPr>
      <w:r>
        <w:t xml:space="preserve">In </w:t>
      </w:r>
      <w:r w:rsidR="00DE4F28">
        <w:t>2022</w:t>
      </w:r>
      <w:r w:rsidR="0054760A">
        <w:t xml:space="preserve">, employment in the Life Sciences growth sector was highest in </w:t>
      </w:r>
      <w:r w:rsidR="00DE4F28">
        <w:t xml:space="preserve">City of Edinburgh (3,000) and </w:t>
      </w:r>
      <w:r>
        <w:t>Glasgow City (2,</w:t>
      </w:r>
      <w:r w:rsidR="0054760A">
        <w:t>5</w:t>
      </w:r>
      <w:r w:rsidR="00DE4F28">
        <w:t>0</w:t>
      </w:r>
      <w:r w:rsidR="0054760A">
        <w:t>0)</w:t>
      </w:r>
      <w:r w:rsidR="00DE4F28">
        <w:t xml:space="preserve">, </w:t>
      </w:r>
      <w:r w:rsidR="0054760A">
        <w:t xml:space="preserve">which comprised </w:t>
      </w:r>
      <w:r w:rsidR="00A47025">
        <w:t>1</w:t>
      </w:r>
      <w:r w:rsidR="00DE4F28">
        <w:t>3.0</w:t>
      </w:r>
      <w:r>
        <w:t xml:space="preserve">% and </w:t>
      </w:r>
      <w:r w:rsidR="00DE4F28">
        <w:t>10.9</w:t>
      </w:r>
      <w:r w:rsidR="0054760A">
        <w:t>% of employment in this sector respectively.</w:t>
      </w:r>
    </w:p>
    <w:p w14:paraId="29C18FD8" w14:textId="0981FD62" w:rsidR="00E64550" w:rsidRDefault="0054760A">
      <w:pPr>
        <w:pStyle w:val="Heading2"/>
      </w:pPr>
      <w:bookmarkStart w:id="6" w:name="exports3-2018"/>
      <w:bookmarkEnd w:id="6"/>
      <w:r>
        <w:t>Exports</w:t>
      </w:r>
      <w:r>
        <w:rPr>
          <w:rStyle w:val="FootnoteReference"/>
        </w:rPr>
        <w:footnoteReference w:id="3"/>
      </w:r>
      <w:r>
        <w:t xml:space="preserve"> (20</w:t>
      </w:r>
      <w:r w:rsidR="00311FBC">
        <w:t>21</w:t>
      </w:r>
      <w:r>
        <w:t>)</w:t>
      </w:r>
    </w:p>
    <w:p w14:paraId="01B807CC" w14:textId="571C109C" w:rsidR="00E64550" w:rsidRDefault="0054760A">
      <w:pPr>
        <w:pStyle w:val="BodyText"/>
      </w:pPr>
      <w:r>
        <w:rPr>
          <w:i/>
        </w:rPr>
        <w:t xml:space="preserve">Updated </w:t>
      </w:r>
      <w:r w:rsidR="00311FBC">
        <w:rPr>
          <w:i/>
        </w:rPr>
        <w:t>March 2024</w:t>
      </w:r>
      <w:r w:rsidR="00E03C3A">
        <w:rPr>
          <w:i/>
        </w:rPr>
        <w:t>, next update tbc</w:t>
      </w:r>
    </w:p>
    <w:p w14:paraId="69DB812B" w14:textId="2B20EC7E" w:rsidR="00C1306A" w:rsidRDefault="00C1306A" w:rsidP="00C1306A">
      <w:r>
        <w:t>Total exports from the Life Sciences growth sector stood at £</w:t>
      </w:r>
      <w:r w:rsidR="008B5DB9">
        <w:t>2</w:t>
      </w:r>
      <w:r>
        <w:t>.</w:t>
      </w:r>
      <w:r w:rsidR="008B5DB9">
        <w:t>6</w:t>
      </w:r>
      <w:r>
        <w:t xml:space="preserve"> billion in 20</w:t>
      </w:r>
      <w:r w:rsidR="008B5DB9">
        <w:t>21</w:t>
      </w:r>
      <w:r>
        <w:t xml:space="preserve">, accounting for </w:t>
      </w:r>
      <w:r w:rsidR="008B5DB9">
        <w:t>3</w:t>
      </w:r>
      <w:r>
        <w:t>.</w:t>
      </w:r>
      <w:r w:rsidR="008B5DB9">
        <w:t>2</w:t>
      </w:r>
      <w:r>
        <w:t xml:space="preserve">% of Scotland’s total exports. Exports from this sector increased by </w:t>
      </w:r>
      <w:r w:rsidR="008B5DB9">
        <w:t>35</w:t>
      </w:r>
      <w:r>
        <w:t>.5% over the year.</w:t>
      </w:r>
    </w:p>
    <w:p w14:paraId="481BE986" w14:textId="58BF9195" w:rsidR="00C1306A" w:rsidRDefault="00C1306A" w:rsidP="00C1306A">
      <w:r>
        <w:t>Exports to the rest of the UK stood at £3</w:t>
      </w:r>
      <w:r w:rsidR="008B5DB9">
        <w:t>95</w:t>
      </w:r>
      <w:r>
        <w:t xml:space="preserve"> million in 20</w:t>
      </w:r>
      <w:r w:rsidR="008B5DB9">
        <w:t>21</w:t>
      </w:r>
      <w:r>
        <w:t xml:space="preserve"> and accounted for 1</w:t>
      </w:r>
      <w:r w:rsidR="008B5DB9">
        <w:t>5</w:t>
      </w:r>
      <w:r>
        <w:t>.</w:t>
      </w:r>
      <w:r w:rsidR="008B5DB9">
        <w:t>5</w:t>
      </w:r>
      <w:r>
        <w:t>% of total Life Sciences exports. International exports to the EU stood at £</w:t>
      </w:r>
      <w:r w:rsidR="008B5DB9">
        <w:t>1,025</w:t>
      </w:r>
      <w:r>
        <w:t xml:space="preserve"> million (4</w:t>
      </w:r>
      <w:r w:rsidR="008B5DB9">
        <w:t>0</w:t>
      </w:r>
      <w:r>
        <w:t>.</w:t>
      </w:r>
      <w:r w:rsidR="008B5DB9">
        <w:t>1</w:t>
      </w:r>
      <w:r>
        <w:t>%) and international exports to non-EU countries stood at £</w:t>
      </w:r>
      <w:r w:rsidR="008B5DB9">
        <w:t>1,140</w:t>
      </w:r>
      <w:r>
        <w:t xml:space="preserve"> million (</w:t>
      </w:r>
      <w:r w:rsidR="008B5DB9">
        <w:t>44</w:t>
      </w:r>
      <w:r>
        <w:t>.</w:t>
      </w:r>
      <w:r w:rsidR="008B5DB9">
        <w:t>6</w:t>
      </w:r>
      <w:r>
        <w:t>%).</w:t>
      </w:r>
    </w:p>
    <w:p w14:paraId="2CF55C89" w14:textId="2FF47D9F" w:rsidR="008A54EB" w:rsidRPr="008A54EB" w:rsidRDefault="008A54EB" w:rsidP="00C1306A">
      <w:pPr>
        <w:rPr>
          <w:b/>
        </w:rPr>
      </w:pPr>
      <w:r w:rsidRPr="008A54EB">
        <w:rPr>
          <w:b/>
        </w:rPr>
        <w:t>Exports (20</w:t>
      </w:r>
      <w:r w:rsidR="00AF3806">
        <w:rPr>
          <w:b/>
        </w:rPr>
        <w:t>21</w:t>
      </w:r>
      <w:r w:rsidRPr="008A54EB">
        <w:rPr>
          <w:b/>
        </w:rPr>
        <w:t>) – Life Sciences Cluster</w:t>
      </w:r>
    </w:p>
    <w:p w14:paraId="13555ABE" w14:textId="2D7CE9D8" w:rsidR="008A54EB" w:rsidRDefault="008A54EB" w:rsidP="00C1306A">
      <w:pPr>
        <w:rPr>
          <w:i/>
        </w:rPr>
      </w:pPr>
      <w:r w:rsidRPr="008A54EB">
        <w:rPr>
          <w:i/>
        </w:rPr>
        <w:t xml:space="preserve">Updated </w:t>
      </w:r>
      <w:r w:rsidR="00AF3806">
        <w:rPr>
          <w:i/>
        </w:rPr>
        <w:t>March 2024</w:t>
      </w:r>
      <w:r w:rsidRPr="008A54EB">
        <w:rPr>
          <w:i/>
        </w:rPr>
        <w:t xml:space="preserve">, next update </w:t>
      </w:r>
      <w:r>
        <w:rPr>
          <w:i/>
        </w:rPr>
        <w:t>tbc</w:t>
      </w:r>
    </w:p>
    <w:p w14:paraId="41652080" w14:textId="3955079E" w:rsidR="00A23755" w:rsidRDefault="00765143" w:rsidP="00A23755">
      <w:pPr>
        <w:spacing w:before="180" w:after="180"/>
      </w:pPr>
      <w:r>
        <w:t>International e</w:t>
      </w:r>
      <w:r w:rsidR="008A54EB">
        <w:t>xports from t</w:t>
      </w:r>
      <w:r w:rsidR="008A54EB" w:rsidRPr="008A54EB">
        <w:t xml:space="preserve">he wider Life Sciences </w:t>
      </w:r>
      <w:r w:rsidR="003641D6">
        <w:t>cluster</w:t>
      </w:r>
      <w:r w:rsidR="008A54EB" w:rsidRPr="008A54EB">
        <w:t xml:space="preserve"> </w:t>
      </w:r>
      <w:r w:rsidR="008A54EB">
        <w:t>stood at £</w:t>
      </w:r>
      <w:r w:rsidR="00AF3806">
        <w:t>4</w:t>
      </w:r>
      <w:r w:rsidR="008A54EB">
        <w:t>.</w:t>
      </w:r>
      <w:r w:rsidR="00AF3806">
        <w:t>3</w:t>
      </w:r>
      <w:r w:rsidR="008A54EB">
        <w:t xml:space="preserve"> billion in 20</w:t>
      </w:r>
      <w:r w:rsidR="00AF3806">
        <w:t>21</w:t>
      </w:r>
      <w:r w:rsidR="008A54EB">
        <w:t>, up</w:t>
      </w:r>
      <w:r w:rsidR="00AF3806">
        <w:t xml:space="preserve"> 14.9%</w:t>
      </w:r>
      <w:r w:rsidR="008A54EB">
        <w:t xml:space="preserve"> </w:t>
      </w:r>
      <w:r w:rsidR="00AF3806">
        <w:t>on</w:t>
      </w:r>
      <w:r w:rsidR="008A54EB">
        <w:t xml:space="preserve"> </w:t>
      </w:r>
      <w:r w:rsidR="00AF3806">
        <w:t>2020</w:t>
      </w:r>
      <w:r w:rsidR="008A54EB" w:rsidRPr="008A54EB">
        <w:t>.</w:t>
      </w:r>
      <w:bookmarkStart w:id="7" w:name="turnovergross-value-added-2018"/>
      <w:bookmarkEnd w:id="7"/>
    </w:p>
    <w:p w14:paraId="0B6C6307" w14:textId="11FD6700" w:rsidR="00E64550" w:rsidRPr="00A23755" w:rsidRDefault="0054760A" w:rsidP="00A23755">
      <w:pPr>
        <w:spacing w:before="180" w:after="180"/>
        <w:rPr>
          <w:b/>
          <w:bCs/>
          <w:vertAlign w:val="superscript"/>
        </w:rPr>
      </w:pPr>
      <w:r w:rsidRPr="00A23755">
        <w:rPr>
          <w:b/>
          <w:bCs/>
        </w:rPr>
        <w:t>Turnover/Gross Value Added (</w:t>
      </w:r>
      <w:r w:rsidR="001A6DB7" w:rsidRPr="00A23755">
        <w:rPr>
          <w:b/>
          <w:bCs/>
        </w:rPr>
        <w:t>202</w:t>
      </w:r>
      <w:r w:rsidR="00650A88" w:rsidRPr="00A23755">
        <w:rPr>
          <w:b/>
          <w:bCs/>
        </w:rPr>
        <w:t>1</w:t>
      </w:r>
      <w:r w:rsidRPr="00A23755">
        <w:rPr>
          <w:b/>
          <w:bCs/>
        </w:rPr>
        <w:t>)</w:t>
      </w:r>
    </w:p>
    <w:p w14:paraId="2BA4A4B0" w14:textId="4EAEB835" w:rsidR="008A54EB" w:rsidRDefault="0054760A" w:rsidP="008A54EB">
      <w:pPr>
        <w:pStyle w:val="FirstParagraph"/>
      </w:pPr>
      <w:r>
        <w:rPr>
          <w:i/>
        </w:rPr>
        <w:t xml:space="preserve">Updated </w:t>
      </w:r>
      <w:r w:rsidR="001A6DB7">
        <w:rPr>
          <w:i/>
        </w:rPr>
        <w:t>August 202</w:t>
      </w:r>
      <w:r w:rsidR="00650A88">
        <w:rPr>
          <w:i/>
        </w:rPr>
        <w:t>3</w:t>
      </w:r>
      <w:r w:rsidR="00E03C3A">
        <w:rPr>
          <w:i/>
        </w:rPr>
        <w:t>, next update</w:t>
      </w:r>
      <w:r w:rsidR="00264CC6">
        <w:rPr>
          <w:i/>
        </w:rPr>
        <w:t xml:space="preserve"> </w:t>
      </w:r>
      <w:r w:rsidR="00040181">
        <w:rPr>
          <w:i/>
        </w:rPr>
        <w:t>August</w:t>
      </w:r>
      <w:r w:rsidR="007F58C4">
        <w:rPr>
          <w:i/>
        </w:rPr>
        <w:t xml:space="preserve"> </w:t>
      </w:r>
      <w:r w:rsidR="001A6DB7">
        <w:rPr>
          <w:i/>
        </w:rPr>
        <w:t>202</w:t>
      </w:r>
      <w:r w:rsidR="00650A88">
        <w:rPr>
          <w:i/>
        </w:rPr>
        <w:t>4</w:t>
      </w:r>
    </w:p>
    <w:p w14:paraId="56AB4ABC" w14:textId="1756AB55" w:rsidR="00E64550" w:rsidRDefault="0054760A" w:rsidP="008A54EB">
      <w:pPr>
        <w:pStyle w:val="BodyText"/>
      </w:pPr>
      <w:r>
        <w:t xml:space="preserve">In </w:t>
      </w:r>
      <w:r w:rsidR="001A6DB7">
        <w:t>202</w:t>
      </w:r>
      <w:r w:rsidR="00650A88">
        <w:t>1</w:t>
      </w:r>
      <w:r>
        <w:t>, total turnover in the Life Sciences growth sector was £</w:t>
      </w:r>
      <w:r w:rsidR="00650A88" w:rsidRPr="00650A88">
        <w:t>4</w:t>
      </w:r>
      <w:r w:rsidR="00650A88">
        <w:t>,</w:t>
      </w:r>
      <w:r w:rsidR="00650A88" w:rsidRPr="00650A88">
        <w:t>060.2</w:t>
      </w:r>
      <w:r w:rsidR="00650A88">
        <w:t xml:space="preserve"> </w:t>
      </w:r>
      <w:r>
        <w:t xml:space="preserve">million. Between </w:t>
      </w:r>
      <w:r w:rsidR="001A6DB7">
        <w:t>20</w:t>
      </w:r>
      <w:r w:rsidR="00650A88">
        <w:t>20</w:t>
      </w:r>
      <w:r w:rsidR="001A6DB7">
        <w:t xml:space="preserve"> </w:t>
      </w:r>
      <w:r>
        <w:t xml:space="preserve">and </w:t>
      </w:r>
      <w:r w:rsidR="001A6DB7">
        <w:t>202</w:t>
      </w:r>
      <w:r w:rsidR="00650A88">
        <w:t>1</w:t>
      </w:r>
      <w:r>
        <w:t xml:space="preserve">, total turnover in this growth sector </w:t>
      </w:r>
      <w:r w:rsidR="00650A88">
        <w:t>in</w:t>
      </w:r>
      <w:r w:rsidR="001A6DB7">
        <w:t xml:space="preserve">creased </w:t>
      </w:r>
      <w:r>
        <w:t xml:space="preserve">by </w:t>
      </w:r>
      <w:r w:rsidR="00650A88">
        <w:t>26.2</w:t>
      </w:r>
      <w:r>
        <w:t>% in nominal terms.</w:t>
      </w:r>
    </w:p>
    <w:p w14:paraId="2B3F480A" w14:textId="302C6DD3" w:rsidR="001230FF" w:rsidRDefault="0054760A">
      <w:pPr>
        <w:pStyle w:val="BodyText"/>
      </w:pPr>
      <w:r>
        <w:t>Gross Value Added for the Li</w:t>
      </w:r>
      <w:r w:rsidR="002E1883">
        <w:t>fe Sciences growth sector was estimated at</w:t>
      </w:r>
      <w:r>
        <w:t xml:space="preserve"> £</w:t>
      </w:r>
      <w:r w:rsidR="00650A88" w:rsidRPr="00650A88">
        <w:t>2</w:t>
      </w:r>
      <w:r w:rsidR="00650A88">
        <w:t>,</w:t>
      </w:r>
      <w:r w:rsidR="00650A88" w:rsidRPr="00650A88">
        <w:t>223.7</w:t>
      </w:r>
      <w:r w:rsidR="00650A88">
        <w:t xml:space="preserve"> </w:t>
      </w:r>
      <w:r>
        <w:t xml:space="preserve">million in </w:t>
      </w:r>
      <w:r w:rsidR="001A6DB7">
        <w:t>202</w:t>
      </w:r>
      <w:r w:rsidR="00650A88">
        <w:t>1</w:t>
      </w:r>
      <w:r w:rsidR="001230FF">
        <w:t>,</w:t>
      </w:r>
      <w:r w:rsidR="001A6DB7">
        <w:t xml:space="preserve"> </w:t>
      </w:r>
      <w:r>
        <w:t xml:space="preserve">an increase </w:t>
      </w:r>
      <w:r w:rsidR="001230FF">
        <w:t xml:space="preserve">of </w:t>
      </w:r>
      <w:r w:rsidR="00650A88">
        <w:t>26.9</w:t>
      </w:r>
      <w:r>
        <w:t xml:space="preserve">% </w:t>
      </w:r>
      <w:r w:rsidR="001230FF">
        <w:t>compared to 20</w:t>
      </w:r>
      <w:r w:rsidR="00650A88">
        <w:t>20</w:t>
      </w:r>
      <w:r w:rsidR="001230FF">
        <w:t xml:space="preserve"> (£</w:t>
      </w:r>
      <w:r w:rsidR="00650A88" w:rsidRPr="00650A88">
        <w:t>1</w:t>
      </w:r>
      <w:r w:rsidR="00650A88">
        <w:t>,</w:t>
      </w:r>
      <w:r w:rsidR="00650A88" w:rsidRPr="00650A88">
        <w:t>716</w:t>
      </w:r>
      <w:r w:rsidR="00650A88">
        <w:t xml:space="preserve"> </w:t>
      </w:r>
      <w:r w:rsidR="001230FF">
        <w:t>million)</w:t>
      </w:r>
      <w:r>
        <w:t>.</w:t>
      </w:r>
    </w:p>
    <w:p w14:paraId="47B47B9F" w14:textId="76587818" w:rsidR="00E64550" w:rsidRDefault="0054760A">
      <w:pPr>
        <w:pStyle w:val="Heading2"/>
      </w:pPr>
      <w:bookmarkStart w:id="8" w:name="turnovergross-value-added-2017---life-sc"/>
      <w:bookmarkEnd w:id="8"/>
      <w:r>
        <w:lastRenderedPageBreak/>
        <w:t>Turnover/Gross Value Added</w:t>
      </w:r>
      <w:r w:rsidR="00C9036D">
        <w:t xml:space="preserve"> (</w:t>
      </w:r>
      <w:r w:rsidR="0017364C">
        <w:t>202</w:t>
      </w:r>
      <w:r w:rsidR="00AF3806">
        <w:t>1</w:t>
      </w:r>
      <w:r>
        <w:t>) - Life Sciences Cluster</w:t>
      </w:r>
    </w:p>
    <w:p w14:paraId="71F75016" w14:textId="4548ADE6" w:rsidR="00E64550" w:rsidRDefault="002070B4">
      <w:pPr>
        <w:pStyle w:val="FirstParagraph"/>
      </w:pPr>
      <w:r>
        <w:rPr>
          <w:i/>
        </w:rPr>
        <w:t xml:space="preserve">Updated </w:t>
      </w:r>
      <w:r w:rsidR="0017364C">
        <w:rPr>
          <w:i/>
        </w:rPr>
        <w:t>March 202</w:t>
      </w:r>
      <w:r w:rsidR="00AF3806">
        <w:rPr>
          <w:i/>
        </w:rPr>
        <w:t>4</w:t>
      </w:r>
      <w:r>
        <w:rPr>
          <w:i/>
        </w:rPr>
        <w:t xml:space="preserve">, next update </w:t>
      </w:r>
      <w:r w:rsidR="0017364C">
        <w:rPr>
          <w:i/>
        </w:rPr>
        <w:t>March 202</w:t>
      </w:r>
      <w:r w:rsidR="00AF3806">
        <w:rPr>
          <w:i/>
        </w:rPr>
        <w:t>5</w:t>
      </w:r>
    </w:p>
    <w:p w14:paraId="24CFFD1B" w14:textId="282933B5" w:rsidR="00AF3806" w:rsidRDefault="0054760A">
      <w:pPr>
        <w:pStyle w:val="BodyText"/>
      </w:pPr>
      <w:r>
        <w:t xml:space="preserve">Total turnover </w:t>
      </w:r>
      <w:r w:rsidR="00FA6FB4">
        <w:t xml:space="preserve">for businesses </w:t>
      </w:r>
      <w:r>
        <w:t>in the wider Life</w:t>
      </w:r>
      <w:r w:rsidR="00C9036D">
        <w:t xml:space="preserve"> Sciences cluster was estimated at £</w:t>
      </w:r>
      <w:r w:rsidR="00AF3806">
        <w:t>10.5</w:t>
      </w:r>
      <w:r w:rsidR="0017364C">
        <w:t xml:space="preserve"> </w:t>
      </w:r>
      <w:r w:rsidR="00AF3806">
        <w:t>b</w:t>
      </w:r>
      <w:r>
        <w:t>illion</w:t>
      </w:r>
      <w:r w:rsidR="00C9036D">
        <w:t xml:space="preserve"> in </w:t>
      </w:r>
      <w:r w:rsidR="0017364C">
        <w:t>202</w:t>
      </w:r>
      <w:r w:rsidR="00AF3806">
        <w:t>1</w:t>
      </w:r>
      <w:r>
        <w:t>. Total turnover</w:t>
      </w:r>
      <w:r w:rsidR="00C9036D">
        <w:t xml:space="preserve"> </w:t>
      </w:r>
      <w:r w:rsidR="00AF3806">
        <w:t>in</w:t>
      </w:r>
      <w:r w:rsidR="0017364C">
        <w:t xml:space="preserve">creased </w:t>
      </w:r>
      <w:r w:rsidR="00C9036D">
        <w:t xml:space="preserve">by </w:t>
      </w:r>
      <w:r w:rsidR="00AF3806">
        <w:t>19</w:t>
      </w:r>
      <w:r w:rsidR="00C73098">
        <w:t>.</w:t>
      </w:r>
      <w:r w:rsidR="00AF3806">
        <w:t>2</w:t>
      </w:r>
      <w:r w:rsidR="00C9036D">
        <w:t xml:space="preserve">% between </w:t>
      </w:r>
      <w:r w:rsidR="0017364C">
        <w:t>20</w:t>
      </w:r>
      <w:r w:rsidR="00AF3806">
        <w:t>20</w:t>
      </w:r>
      <w:r w:rsidR="0017364C">
        <w:t xml:space="preserve"> </w:t>
      </w:r>
      <w:r w:rsidR="00C9036D">
        <w:t xml:space="preserve">and </w:t>
      </w:r>
      <w:r w:rsidR="0017364C">
        <w:t>202</w:t>
      </w:r>
      <w:r w:rsidR="00AF3806">
        <w:t>1</w:t>
      </w:r>
      <w:r>
        <w:t>. Gross Value Added</w:t>
      </w:r>
      <w:r w:rsidR="00FA6FB4">
        <w:t xml:space="preserve"> for businesses</w:t>
      </w:r>
      <w:r>
        <w:t xml:space="preserve"> in this wider cluster was estim</w:t>
      </w:r>
      <w:r w:rsidR="00C9036D">
        <w:t xml:space="preserve">ated at </w:t>
      </w:r>
      <w:r w:rsidR="00AF3806">
        <w:t>4.6 b</w:t>
      </w:r>
      <w:r w:rsidR="00C9036D">
        <w:t xml:space="preserve">illion in </w:t>
      </w:r>
      <w:r w:rsidR="0017364C">
        <w:t>202</w:t>
      </w:r>
      <w:r w:rsidR="00AF3806">
        <w:t>1</w:t>
      </w:r>
      <w:r w:rsidR="0017364C">
        <w:t xml:space="preserve"> </w:t>
      </w:r>
      <w:r w:rsidR="00C9036D">
        <w:t xml:space="preserve">and </w:t>
      </w:r>
      <w:r w:rsidR="00AF3806">
        <w:t>in</w:t>
      </w:r>
      <w:r w:rsidR="0017364C">
        <w:t xml:space="preserve">creased </w:t>
      </w:r>
      <w:r w:rsidR="00C9036D">
        <w:t xml:space="preserve">by </w:t>
      </w:r>
      <w:r w:rsidR="00AF3806">
        <w:t>12</w:t>
      </w:r>
      <w:r w:rsidR="0017364C">
        <w:t>.</w:t>
      </w:r>
      <w:r w:rsidR="00AF3806">
        <w:t>7</w:t>
      </w:r>
      <w:r>
        <w:t>% from the previous year.</w:t>
      </w:r>
    </w:p>
    <w:p w14:paraId="1960E020" w14:textId="4C909975" w:rsidR="00E64550" w:rsidRDefault="0054760A">
      <w:pPr>
        <w:pStyle w:val="Heading2"/>
      </w:pPr>
      <w:bookmarkStart w:id="9" w:name="enterprises-20194"/>
      <w:bookmarkEnd w:id="9"/>
      <w:r>
        <w:t>Enterprises (</w:t>
      </w:r>
      <w:r w:rsidR="00C85BCE">
        <w:t>202</w:t>
      </w:r>
      <w:r w:rsidR="00A23755">
        <w:t>3</w:t>
      </w:r>
      <w:r>
        <w:t>)</w:t>
      </w:r>
      <w:r>
        <w:rPr>
          <w:rStyle w:val="FootnoteReference"/>
        </w:rPr>
        <w:footnoteReference w:id="4"/>
      </w:r>
    </w:p>
    <w:p w14:paraId="3482E89E" w14:textId="59610918" w:rsidR="00E64550" w:rsidRDefault="0054760A">
      <w:pPr>
        <w:pStyle w:val="BodyText"/>
      </w:pPr>
      <w:r>
        <w:rPr>
          <w:i/>
        </w:rPr>
        <w:t>Update</w:t>
      </w:r>
      <w:r w:rsidR="00E7722B">
        <w:rPr>
          <w:i/>
        </w:rPr>
        <w:t xml:space="preserve">d </w:t>
      </w:r>
      <w:r w:rsidR="00A23755">
        <w:rPr>
          <w:i/>
        </w:rPr>
        <w:t>December</w:t>
      </w:r>
      <w:r w:rsidR="00C85BCE">
        <w:rPr>
          <w:i/>
        </w:rPr>
        <w:t xml:space="preserve"> 2023</w:t>
      </w:r>
      <w:r w:rsidR="00E7722B">
        <w:rPr>
          <w:i/>
        </w:rPr>
        <w:t xml:space="preserve">, next update </w:t>
      </w:r>
      <w:r w:rsidR="00937BD4">
        <w:rPr>
          <w:i/>
        </w:rPr>
        <w:t>December</w:t>
      </w:r>
      <w:r w:rsidR="00C85BCE">
        <w:rPr>
          <w:i/>
        </w:rPr>
        <w:t xml:space="preserve"> </w:t>
      </w:r>
      <w:r w:rsidR="00477DDA">
        <w:rPr>
          <w:i/>
        </w:rPr>
        <w:t>202</w:t>
      </w:r>
      <w:r w:rsidR="00A23755">
        <w:rPr>
          <w:i/>
        </w:rPr>
        <w:t>4</w:t>
      </w:r>
    </w:p>
    <w:p w14:paraId="1D22C9B2" w14:textId="32864540" w:rsidR="00E64550" w:rsidRDefault="0054760A">
      <w:pPr>
        <w:pStyle w:val="BodyText"/>
      </w:pPr>
      <w:r>
        <w:t xml:space="preserve">In </w:t>
      </w:r>
      <w:r w:rsidR="00D6544D">
        <w:t xml:space="preserve">March </w:t>
      </w:r>
      <w:r w:rsidR="00C85BCE">
        <w:t>202</w:t>
      </w:r>
      <w:r w:rsidR="00A23755">
        <w:t>3</w:t>
      </w:r>
      <w:r>
        <w:t xml:space="preserve">, there were </w:t>
      </w:r>
      <w:r w:rsidR="00A23755">
        <w:t>590</w:t>
      </w:r>
      <w:r w:rsidR="00C85BCE">
        <w:t xml:space="preserve"> </w:t>
      </w:r>
      <w:r>
        <w:t>registered enterprises operating in the Life Sciences growth sector</w:t>
      </w:r>
      <w:r w:rsidR="006A307A">
        <w:t>,</w:t>
      </w:r>
      <w:r>
        <w:t xml:space="preserve"> representing 0.3% of all registered business in Scotland. In </w:t>
      </w:r>
      <w:r w:rsidR="00C85BCE">
        <w:t>202</w:t>
      </w:r>
      <w:r w:rsidR="00A23755">
        <w:t>3</w:t>
      </w:r>
      <w:r>
        <w:t xml:space="preserve">, </w:t>
      </w:r>
      <w:r w:rsidR="007A282E">
        <w:t>8</w:t>
      </w:r>
      <w:r w:rsidR="00A23755">
        <w:t>6</w:t>
      </w:r>
      <w:r w:rsidR="00C85BCE">
        <w:t>.</w:t>
      </w:r>
      <w:r w:rsidR="00A23755">
        <w:t>4</w:t>
      </w:r>
      <w:r w:rsidRPr="00F658AD">
        <w:t>%</w:t>
      </w:r>
      <w:r>
        <w:t xml:space="preserve"> of Scottish Life Sciences registered enterprises were small (0-49 employees), accounting for </w:t>
      </w:r>
      <w:r w:rsidR="00C85BCE">
        <w:t>1</w:t>
      </w:r>
      <w:r w:rsidR="00A23755">
        <w:t>7</w:t>
      </w:r>
      <w:r w:rsidR="00C85BCE">
        <w:t>.</w:t>
      </w:r>
      <w:r w:rsidR="00A23755">
        <w:t>9</w:t>
      </w:r>
      <w:r>
        <w:t xml:space="preserve">% of employment in this sector, whilst large enterprises (250+ employees) accounted for </w:t>
      </w:r>
      <w:r w:rsidR="00534962">
        <w:t>5.</w:t>
      </w:r>
      <w:r w:rsidR="00A23755">
        <w:t>9</w:t>
      </w:r>
      <w:r>
        <w:t xml:space="preserve">% of registered enterprises but </w:t>
      </w:r>
      <w:r w:rsidR="007A282E">
        <w:t>6</w:t>
      </w:r>
      <w:r w:rsidR="00A23755">
        <w:t>0</w:t>
      </w:r>
      <w:r w:rsidR="00C85BCE">
        <w:t>.</w:t>
      </w:r>
      <w:r w:rsidR="00A23755">
        <w:t>2</w:t>
      </w:r>
      <w:r>
        <w:t>% of employment.</w:t>
      </w:r>
    </w:p>
    <w:p w14:paraId="5AA07267" w14:textId="3C8F005D" w:rsidR="00E64550" w:rsidRDefault="00A23755">
      <w:pPr>
        <w:pStyle w:val="BodyText"/>
      </w:pPr>
      <w:r>
        <w:rPr>
          <w:noProof/>
        </w:rPr>
        <w:drawing>
          <wp:inline distT="0" distB="0" distL="0" distR="0" wp14:anchorId="550DCB6C" wp14:editId="24BDCD59">
            <wp:extent cx="5943600" cy="3125470"/>
            <wp:effectExtent l="0" t="0" r="0" b="0"/>
            <wp:docPr id="542539835" name="Chart 1">
              <a:extLst xmlns:a="http://schemas.openxmlformats.org/drawingml/2006/main">
                <a:ext uri="{FF2B5EF4-FFF2-40B4-BE49-F238E27FC236}">
                  <a16:creationId xmlns:a16="http://schemas.microsoft.com/office/drawing/2014/main" id="{08D43EEE-D1DE-43C9-9397-B0C9EA9F51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51B0DC" w14:textId="66FF0385" w:rsidR="00E64550" w:rsidRDefault="0054760A">
      <w:pPr>
        <w:pStyle w:val="BodyText"/>
      </w:pPr>
      <w:r>
        <w:t>The majority of enterprises in the Life Sciences sector were UK owned with their registered office address in Scotland (8</w:t>
      </w:r>
      <w:r w:rsidR="00A23755">
        <w:t>4</w:t>
      </w:r>
      <w:r>
        <w:t>.</w:t>
      </w:r>
      <w:r w:rsidR="00A23755">
        <w:t>7</w:t>
      </w:r>
      <w:r>
        <w:t xml:space="preserve">%), accounting for </w:t>
      </w:r>
      <w:r w:rsidR="00C85BCE">
        <w:t>30.</w:t>
      </w:r>
      <w:r w:rsidR="00A23755">
        <w:t>4</w:t>
      </w:r>
      <w:r>
        <w:t xml:space="preserve">% of sector employment in </w:t>
      </w:r>
      <w:r w:rsidR="00C85BCE">
        <w:t>202</w:t>
      </w:r>
      <w:r w:rsidR="00A23755">
        <w:t>3</w:t>
      </w:r>
      <w:r>
        <w:t xml:space="preserve">. </w:t>
      </w:r>
      <w:r w:rsidR="00A23755">
        <w:t>11</w:t>
      </w:r>
      <w:r w:rsidR="00534962">
        <w:t>.</w:t>
      </w:r>
      <w:r w:rsidR="00A23755">
        <w:t>0</w:t>
      </w:r>
      <w:r>
        <w:t xml:space="preserve">% of businesses were registered abroad, but they accounted for </w:t>
      </w:r>
      <w:r w:rsidR="007A282E">
        <w:t>5</w:t>
      </w:r>
      <w:r w:rsidR="00A23755">
        <w:t>8</w:t>
      </w:r>
      <w:r w:rsidR="00C85BCE">
        <w:t>.6</w:t>
      </w:r>
      <w:r>
        <w:t>% of employment in this sector.</w:t>
      </w:r>
    </w:p>
    <w:p w14:paraId="50FAC0C9" w14:textId="20214D20" w:rsidR="00E64550" w:rsidRDefault="00FA6FB4">
      <w:pPr>
        <w:pStyle w:val="Heading2"/>
      </w:pPr>
      <w:bookmarkStart w:id="10" w:name="organisations-2017---life-sciences-clust"/>
      <w:bookmarkEnd w:id="10"/>
      <w:r>
        <w:t>Enterprise</w:t>
      </w:r>
      <w:r w:rsidR="00C9036D">
        <w:t>s (</w:t>
      </w:r>
      <w:r w:rsidR="0017364C">
        <w:t>202</w:t>
      </w:r>
      <w:r w:rsidR="00AF3806">
        <w:t>1</w:t>
      </w:r>
      <w:r w:rsidR="0054760A">
        <w:t>) - Life Sciences Cluster</w:t>
      </w:r>
    </w:p>
    <w:p w14:paraId="3EC2C931" w14:textId="2AF160FA" w:rsidR="00E64550" w:rsidRDefault="002070B4">
      <w:pPr>
        <w:pStyle w:val="FirstParagraph"/>
      </w:pPr>
      <w:r>
        <w:rPr>
          <w:i/>
        </w:rPr>
        <w:t xml:space="preserve">Updated </w:t>
      </w:r>
      <w:r w:rsidR="0017364C">
        <w:rPr>
          <w:i/>
        </w:rPr>
        <w:t>March 202</w:t>
      </w:r>
      <w:r w:rsidR="00AF3806">
        <w:rPr>
          <w:i/>
        </w:rPr>
        <w:t>4</w:t>
      </w:r>
      <w:r>
        <w:rPr>
          <w:i/>
        </w:rPr>
        <w:t xml:space="preserve">, next update </w:t>
      </w:r>
      <w:r w:rsidR="00EC53B5">
        <w:rPr>
          <w:i/>
        </w:rPr>
        <w:t>Ma</w:t>
      </w:r>
      <w:r w:rsidR="0017364C">
        <w:rPr>
          <w:i/>
        </w:rPr>
        <w:t>rch</w:t>
      </w:r>
      <w:r w:rsidR="00D6544D">
        <w:rPr>
          <w:i/>
        </w:rPr>
        <w:t xml:space="preserve"> </w:t>
      </w:r>
      <w:r w:rsidR="0017364C">
        <w:rPr>
          <w:i/>
        </w:rPr>
        <w:t>202</w:t>
      </w:r>
      <w:r w:rsidR="00AF3806">
        <w:rPr>
          <w:i/>
        </w:rPr>
        <w:t>5</w:t>
      </w:r>
    </w:p>
    <w:p w14:paraId="51AD4566" w14:textId="0C8D6C66" w:rsidR="00E64550" w:rsidRDefault="00FA6FB4">
      <w:pPr>
        <w:pStyle w:val="BodyText"/>
      </w:pPr>
      <w:r>
        <w:t xml:space="preserve">In </w:t>
      </w:r>
      <w:r w:rsidR="0017364C">
        <w:t>202</w:t>
      </w:r>
      <w:r w:rsidR="00AF3806">
        <w:t>1</w:t>
      </w:r>
      <w:r>
        <w:t>, t</w:t>
      </w:r>
      <w:r w:rsidR="0054760A">
        <w:t xml:space="preserve">he wider Life </w:t>
      </w:r>
      <w:r w:rsidR="00C9036D">
        <w:t>Sciences sector comprise</w:t>
      </w:r>
      <w:r>
        <w:t>d</w:t>
      </w:r>
      <w:r w:rsidR="00C9036D">
        <w:t xml:space="preserve"> of </w:t>
      </w:r>
      <w:r w:rsidR="0017364C">
        <w:t>72</w:t>
      </w:r>
      <w:r w:rsidR="00AF3806">
        <w:t>5</w:t>
      </w:r>
      <w:r w:rsidR="0017364C">
        <w:t xml:space="preserve"> </w:t>
      </w:r>
      <w:r>
        <w:t>enterprises</w:t>
      </w:r>
      <w:r w:rsidR="0054760A">
        <w:t>.</w:t>
      </w:r>
    </w:p>
    <w:p w14:paraId="7F4C49C5" w14:textId="45F390A8" w:rsidR="00E64550" w:rsidRDefault="0054760A">
      <w:pPr>
        <w:pStyle w:val="Heading2"/>
      </w:pPr>
      <w:bookmarkStart w:id="11" w:name="earnings-2018"/>
      <w:bookmarkEnd w:id="11"/>
      <w:r>
        <w:lastRenderedPageBreak/>
        <w:t>Earning</w:t>
      </w:r>
      <w:r w:rsidR="00EC53B5">
        <w:t>s (</w:t>
      </w:r>
      <w:r w:rsidR="00E736D6">
        <w:t>2023</w:t>
      </w:r>
      <w:r>
        <w:t>)</w:t>
      </w:r>
    </w:p>
    <w:p w14:paraId="2CB7041A" w14:textId="4AAAD7F8" w:rsidR="00E64550" w:rsidRDefault="00EC53B5">
      <w:pPr>
        <w:pStyle w:val="FirstParagraph"/>
      </w:pPr>
      <w:r>
        <w:rPr>
          <w:i/>
        </w:rPr>
        <w:t xml:space="preserve">Updated </w:t>
      </w:r>
      <w:r w:rsidR="00E736D6">
        <w:rPr>
          <w:i/>
        </w:rPr>
        <w:t xml:space="preserve">December </w:t>
      </w:r>
      <w:r w:rsidR="00C85BCE">
        <w:rPr>
          <w:i/>
        </w:rPr>
        <w:t>2023</w:t>
      </w:r>
      <w:r w:rsidR="002070B4">
        <w:rPr>
          <w:i/>
        </w:rPr>
        <w:t xml:space="preserve">, next update </w:t>
      </w:r>
      <w:r w:rsidR="00E736D6">
        <w:rPr>
          <w:i/>
        </w:rPr>
        <w:t xml:space="preserve">December </w:t>
      </w:r>
      <w:r>
        <w:rPr>
          <w:i/>
        </w:rPr>
        <w:t>202</w:t>
      </w:r>
      <w:r w:rsidR="00C85BCE">
        <w:rPr>
          <w:i/>
        </w:rPr>
        <w:t>4</w:t>
      </w:r>
    </w:p>
    <w:p w14:paraId="042524E7" w14:textId="7D187743" w:rsidR="00E64550" w:rsidRDefault="0054760A">
      <w:pPr>
        <w:pStyle w:val="BodyText"/>
      </w:pPr>
      <w:r>
        <w:t>Median weekly full time earnings across the Scottish Life Scie</w:t>
      </w:r>
      <w:r w:rsidR="002E1883">
        <w:t>nces growt</w:t>
      </w:r>
      <w:r w:rsidR="00EC53B5">
        <w:t>h sector stood at £</w:t>
      </w:r>
      <w:r w:rsidR="00C85BCE">
        <w:t>72</w:t>
      </w:r>
      <w:r w:rsidR="00E736D6">
        <w:t xml:space="preserve">4.0 </w:t>
      </w:r>
      <w:r w:rsidR="00EC53B5">
        <w:t xml:space="preserve">in </w:t>
      </w:r>
      <w:r w:rsidR="00E736D6">
        <w:t>2023</w:t>
      </w:r>
      <w:r>
        <w:t>, which was higher t</w:t>
      </w:r>
      <w:r w:rsidR="002E1883">
        <w:t>han the Scottish average at £</w:t>
      </w:r>
      <w:r w:rsidR="00E736D6">
        <w:t>702.8</w:t>
      </w:r>
      <w:r w:rsidR="00EC53B5">
        <w:t>.</w:t>
      </w:r>
    </w:p>
    <w:p w14:paraId="67540572" w14:textId="7400A4FF" w:rsidR="00324FB6" w:rsidRDefault="00EC53B5" w:rsidP="00324FB6">
      <w:pPr>
        <w:pStyle w:val="Heading2"/>
      </w:pPr>
      <w:bookmarkStart w:id="12" w:name="research-and-development-2017"/>
      <w:bookmarkStart w:id="13" w:name="business-demography-2018"/>
      <w:bookmarkEnd w:id="12"/>
      <w:bookmarkEnd w:id="13"/>
      <w:r>
        <w:t>Business Demography (202</w:t>
      </w:r>
      <w:r w:rsidR="00AF3806">
        <w:t>2</w:t>
      </w:r>
      <w:r w:rsidR="00324FB6">
        <w:t>)</w:t>
      </w:r>
    </w:p>
    <w:p w14:paraId="1D61DD8D" w14:textId="387E7384" w:rsidR="00324FB6" w:rsidRDefault="00EC53B5" w:rsidP="00324FB6">
      <w:pPr>
        <w:pStyle w:val="FirstParagraph"/>
      </w:pPr>
      <w:r>
        <w:rPr>
          <w:i/>
        </w:rPr>
        <w:t xml:space="preserve">Updated March </w:t>
      </w:r>
      <w:r w:rsidR="003353E6">
        <w:rPr>
          <w:i/>
        </w:rPr>
        <w:t>202</w:t>
      </w:r>
      <w:r w:rsidR="00AF3806">
        <w:rPr>
          <w:i/>
        </w:rPr>
        <w:t>4</w:t>
      </w:r>
      <w:r>
        <w:rPr>
          <w:i/>
        </w:rPr>
        <w:t xml:space="preserve">, next update March </w:t>
      </w:r>
      <w:r w:rsidR="003353E6">
        <w:rPr>
          <w:i/>
        </w:rPr>
        <w:t>202</w:t>
      </w:r>
      <w:r w:rsidR="00AF3806">
        <w:rPr>
          <w:i/>
        </w:rPr>
        <w:t>5</w:t>
      </w:r>
    </w:p>
    <w:p w14:paraId="4E7D3CB8" w14:textId="5AC9C198" w:rsidR="00E64550" w:rsidRDefault="0054760A">
      <w:pPr>
        <w:pStyle w:val="BodyText"/>
      </w:pPr>
      <w:r>
        <w:t xml:space="preserve">The number of registered business births (VAT/PAYE registrations) in the Life Sciences growth sector in Scotland </w:t>
      </w:r>
      <w:r w:rsidR="00162E1A">
        <w:t>decreased</w:t>
      </w:r>
      <w:r w:rsidR="00911933">
        <w:t xml:space="preserve"> by 30.0%,</w:t>
      </w:r>
      <w:r w:rsidR="00162E1A">
        <w:t xml:space="preserve"> from </w:t>
      </w:r>
      <w:r w:rsidR="00911933">
        <w:t>50</w:t>
      </w:r>
      <w:r w:rsidR="00162E1A">
        <w:t xml:space="preserve"> in 202</w:t>
      </w:r>
      <w:r w:rsidR="00911933">
        <w:t>1</w:t>
      </w:r>
      <w:r w:rsidR="00162E1A">
        <w:t xml:space="preserve"> to </w:t>
      </w:r>
      <w:r w:rsidR="00911933">
        <w:t>35</w:t>
      </w:r>
      <w:r w:rsidR="00162E1A">
        <w:t xml:space="preserve"> in 202</w:t>
      </w:r>
      <w:r w:rsidR="00911933">
        <w:t>2</w:t>
      </w:r>
      <w:r>
        <w:t xml:space="preserve">. The business birth rate, which is the number of births as a percentage of active businesses, was </w:t>
      </w:r>
      <w:r w:rsidR="00911933">
        <w:t>5</w:t>
      </w:r>
      <w:r w:rsidR="003353E6">
        <w:t>.</w:t>
      </w:r>
      <w:r w:rsidR="00911933">
        <w:t>8</w:t>
      </w:r>
      <w:r>
        <w:t xml:space="preserve">%. In comparison, business births in Life Sciences across the UK </w:t>
      </w:r>
      <w:r w:rsidR="003353E6">
        <w:t xml:space="preserve">decreased </w:t>
      </w:r>
      <w:r>
        <w:t xml:space="preserve">by </w:t>
      </w:r>
      <w:r w:rsidR="00911933">
        <w:t>28</w:t>
      </w:r>
      <w:r w:rsidR="003353E6">
        <w:t>.</w:t>
      </w:r>
      <w:r w:rsidR="00911933">
        <w:t>7</w:t>
      </w:r>
      <w:r>
        <w:t xml:space="preserve">% between </w:t>
      </w:r>
      <w:r w:rsidR="003353E6">
        <w:t>202</w:t>
      </w:r>
      <w:r w:rsidR="00911933">
        <w:t>1</w:t>
      </w:r>
      <w:r w:rsidR="003353E6">
        <w:t xml:space="preserve"> </w:t>
      </w:r>
      <w:r>
        <w:t xml:space="preserve">and </w:t>
      </w:r>
      <w:r w:rsidR="003353E6">
        <w:t>202</w:t>
      </w:r>
      <w:r w:rsidR="00911933">
        <w:t>2</w:t>
      </w:r>
      <w:r>
        <w:t xml:space="preserve">, with a birth rate of </w:t>
      </w:r>
      <w:r w:rsidR="00911933">
        <w:t>7</w:t>
      </w:r>
      <w:r w:rsidR="00EC53B5">
        <w:t>.</w:t>
      </w:r>
      <w:r w:rsidR="00911933">
        <w:t>7</w:t>
      </w:r>
      <w:r>
        <w:t>%.</w:t>
      </w:r>
    </w:p>
    <w:p w14:paraId="358F3829" w14:textId="717061F1" w:rsidR="00E64550" w:rsidRDefault="0054760A">
      <w:pPr>
        <w:pStyle w:val="BodyText"/>
      </w:pPr>
      <w:r>
        <w:t xml:space="preserve">The number of business deaths (VAT/PAYE de-registrations) in the Life Sciences growth sector in Scotland </w:t>
      </w:r>
      <w:r w:rsidR="00911933">
        <w:t xml:space="preserve">increased by 25%, from 40 in 2021 to 50 in 2022. </w:t>
      </w:r>
      <w:r>
        <w:t xml:space="preserve">The business death rate, which is the number of deaths as a percentage of active businesses, was </w:t>
      </w:r>
      <w:r w:rsidR="00911933">
        <w:t>8</w:t>
      </w:r>
      <w:r w:rsidR="003353E6">
        <w:t>.</w:t>
      </w:r>
      <w:r w:rsidR="00911933">
        <w:t>3</w:t>
      </w:r>
      <w:r>
        <w:t>%. In comparison, business deaths</w:t>
      </w:r>
      <w:r w:rsidR="006A307A">
        <w:t xml:space="preserve"> in Life Sciences across the UK</w:t>
      </w:r>
      <w:r>
        <w:t xml:space="preserve"> </w:t>
      </w:r>
      <w:r w:rsidR="003353E6">
        <w:t xml:space="preserve">increased </w:t>
      </w:r>
      <w:r>
        <w:t xml:space="preserve">by </w:t>
      </w:r>
      <w:r w:rsidR="003353E6">
        <w:t>1</w:t>
      </w:r>
      <w:r w:rsidR="00911933">
        <w:t>.3</w:t>
      </w:r>
      <w:r>
        <w:t xml:space="preserve">% between </w:t>
      </w:r>
      <w:r w:rsidR="003353E6">
        <w:t>202</w:t>
      </w:r>
      <w:r w:rsidR="00911933">
        <w:t>1</w:t>
      </w:r>
      <w:r w:rsidR="003353E6">
        <w:t xml:space="preserve"> </w:t>
      </w:r>
      <w:r>
        <w:t xml:space="preserve">and </w:t>
      </w:r>
      <w:r w:rsidR="003353E6">
        <w:t>202</w:t>
      </w:r>
      <w:r w:rsidR="00911933">
        <w:t>2</w:t>
      </w:r>
      <w:r>
        <w:t xml:space="preserve">, with a death rate of </w:t>
      </w:r>
      <w:r w:rsidR="00911933">
        <w:t>9</w:t>
      </w:r>
      <w:r w:rsidR="008E7D8C">
        <w:t>.</w:t>
      </w:r>
      <w:r w:rsidR="00911933">
        <w:t>0</w:t>
      </w:r>
      <w:r>
        <w:t>%.</w:t>
      </w:r>
    </w:p>
    <w:p w14:paraId="51C55C0A" w14:textId="77777777" w:rsidR="00E64550" w:rsidRDefault="0054760A">
      <w:pPr>
        <w:pStyle w:val="Heading3"/>
      </w:pPr>
      <w:bookmarkStart w:id="14" w:name="sources-of-information"/>
      <w:bookmarkEnd w:id="14"/>
      <w:r>
        <w:t>Sources of information</w:t>
      </w:r>
    </w:p>
    <w:p w14:paraId="1B68DD9A" w14:textId="77777777" w:rsidR="00E64550" w:rsidRDefault="0054760A">
      <w:pPr>
        <w:pStyle w:val="FirstParagraph"/>
      </w:pPr>
      <w:r>
        <w:rPr>
          <w:b/>
        </w:rPr>
        <w:t>GDP</w:t>
      </w:r>
      <w:r>
        <w:t xml:space="preserve"> – Scottish Government Quarterly GDP Index.</w:t>
      </w:r>
    </w:p>
    <w:p w14:paraId="210A1AFD" w14:textId="77777777" w:rsidR="00E64550" w:rsidRDefault="0054760A">
      <w:pPr>
        <w:pStyle w:val="BodyText"/>
      </w:pPr>
      <w:r>
        <w:rPr>
          <w:b/>
        </w:rPr>
        <w:t>Employment</w:t>
      </w:r>
      <w:r>
        <w:t xml:space="preserve"> – Business Register and Employment Survey.</w:t>
      </w:r>
    </w:p>
    <w:p w14:paraId="1BBA1EAC" w14:textId="77777777" w:rsidR="00E64550" w:rsidRDefault="0054760A">
      <w:pPr>
        <w:pStyle w:val="BodyText"/>
      </w:pPr>
      <w:r>
        <w:rPr>
          <w:b/>
        </w:rPr>
        <w:t>Exports</w:t>
      </w:r>
      <w:r>
        <w:t xml:space="preserve"> –</w:t>
      </w:r>
      <w:r w:rsidR="00825E5A">
        <w:t xml:space="preserve"> Export Statistics Scotland</w:t>
      </w:r>
      <w:r>
        <w:t>.</w:t>
      </w:r>
    </w:p>
    <w:p w14:paraId="4E378041" w14:textId="77777777" w:rsidR="00E64550" w:rsidRDefault="0054760A">
      <w:pPr>
        <w:pStyle w:val="BodyText"/>
      </w:pPr>
      <w:r>
        <w:rPr>
          <w:b/>
        </w:rPr>
        <w:t>Turnover &amp; GVA</w:t>
      </w:r>
      <w:r>
        <w:t xml:space="preserve"> - Scottish Annual Business Statis</w:t>
      </w:r>
      <w:r w:rsidR="002070B4">
        <w:t>tics</w:t>
      </w:r>
      <w:r>
        <w:t>.</w:t>
      </w:r>
    </w:p>
    <w:p w14:paraId="42401A4D" w14:textId="77777777" w:rsidR="00E64550" w:rsidRDefault="0054760A">
      <w:pPr>
        <w:pStyle w:val="BodyText"/>
      </w:pPr>
      <w:r>
        <w:rPr>
          <w:b/>
        </w:rPr>
        <w:t>Enterprises</w:t>
      </w:r>
      <w:r>
        <w:t xml:space="preserve"> – Inter Departmental Business Register.</w:t>
      </w:r>
    </w:p>
    <w:p w14:paraId="303DC9E6" w14:textId="77777777" w:rsidR="00E64550" w:rsidRDefault="0054760A">
      <w:pPr>
        <w:pStyle w:val="BodyText"/>
      </w:pPr>
      <w:r>
        <w:rPr>
          <w:b/>
        </w:rPr>
        <w:t>Earnings</w:t>
      </w:r>
      <w:r>
        <w:t xml:space="preserve"> – Annual Survey of Hours &amp; Earnings.</w:t>
      </w:r>
    </w:p>
    <w:p w14:paraId="75B03891" w14:textId="77777777" w:rsidR="00E64550" w:rsidRDefault="0054760A">
      <w:pPr>
        <w:pStyle w:val="BodyText"/>
      </w:pPr>
      <w:r>
        <w:rPr>
          <w:b/>
        </w:rPr>
        <w:t>Business Demography</w:t>
      </w:r>
      <w:r>
        <w:t xml:space="preserve"> - Inter Departmental Business Register and ONS Business Demography.</w:t>
      </w:r>
    </w:p>
    <w:p w14:paraId="0477186D" w14:textId="77777777" w:rsidR="00825E5A" w:rsidRDefault="0054760A">
      <w:pPr>
        <w:pStyle w:val="BodyText"/>
      </w:pPr>
      <w:r>
        <w:t xml:space="preserve">All data are available from the Growth Sector Statistics Database: </w:t>
      </w:r>
      <w:hyperlink r:id="rId10" w:history="1">
        <w:r w:rsidR="00825E5A">
          <w:rPr>
            <w:rStyle w:val="Hyperlink"/>
          </w:rPr>
          <w:t>https://www.gov.scot/publications/growth-sector-statistics/</w:t>
        </w:r>
      </w:hyperlink>
    </w:p>
    <w:p w14:paraId="67F0C9EA" w14:textId="77777777" w:rsidR="00E64550" w:rsidRDefault="0054760A">
      <w:pPr>
        <w:pStyle w:val="BodyText"/>
      </w:pPr>
      <w:r>
        <w:t>All percentages and percentage changes over time are calculated based on the rounded figures shown in the Growth Sector Statistics Database.</w:t>
      </w:r>
    </w:p>
    <w:p w14:paraId="1B7EF851" w14:textId="77777777" w:rsidR="00E64550" w:rsidRDefault="0054760A">
      <w:pPr>
        <w:pStyle w:val="BodyText"/>
      </w:pPr>
      <w:r>
        <w:t xml:space="preserve">Data for the Life Sciences Cluster is available from the Life Sciences Sourcebook: </w:t>
      </w:r>
      <w:hyperlink r:id="rId11" w:history="1">
        <w:r w:rsidR="00806C67">
          <w:rPr>
            <w:rStyle w:val="Hyperlink"/>
          </w:rPr>
          <w:t>https://www.gov.scot/binaries/content/documents/govscot/publications/statistics/2019/07/growth-sector-statistics/documents/life-sciences-cluster/life-sciences-cluster/govscot%3Adocument/Life%2Bsciences%2Bcluster.xlsx</w:t>
        </w:r>
      </w:hyperlink>
    </w:p>
    <w:p w14:paraId="008DD0E7" w14:textId="6036F1E3" w:rsidR="00806C67" w:rsidRDefault="0054760A">
      <w:pPr>
        <w:pStyle w:val="BodyText"/>
      </w:pPr>
      <w:r>
        <w:t xml:space="preserve">For more information about the methodology behind the Growth Sector Statistics Database, please see the Methodology Note: </w:t>
      </w:r>
      <w:hyperlink r:id="rId12" w:history="1">
        <w:r w:rsidR="00B62333">
          <w:rPr>
            <w:rStyle w:val="Hyperlink"/>
          </w:rPr>
          <w:t>https://www.gov.scot/binaries/content/documents/govscot/publications/statistics/2019/07/growth-sector-statistics/documents/growth-sector-method-note/growth-sector-method-note/govscot%3Adocument/Growth%2BSectors%2B</w:t>
        </w:r>
        <w:r w:rsidR="00B62333" w:rsidRPr="00CC0A00">
          <w:rPr>
            <w:rStyle w:val="Hyperlink"/>
          </w:rPr>
          <w:t>Methodology%2Bdocument.docx</w:t>
        </w:r>
      </w:hyperlink>
    </w:p>
    <w:sectPr w:rsidR="00806C67" w:rsidSect="00A23755">
      <w:pgSz w:w="12240" w:h="15840"/>
      <w:pgMar w:top="42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0F01" w14:textId="77777777" w:rsidR="007752F5" w:rsidRDefault="0054760A">
      <w:pPr>
        <w:spacing w:after="0"/>
      </w:pPr>
      <w:r>
        <w:separator/>
      </w:r>
    </w:p>
  </w:endnote>
  <w:endnote w:type="continuationSeparator" w:id="0">
    <w:p w14:paraId="00FEBA88" w14:textId="77777777" w:rsidR="007752F5" w:rsidRDefault="00547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EEE0" w14:textId="77777777" w:rsidR="00E64550" w:rsidRDefault="0054760A">
      <w:r>
        <w:separator/>
      </w:r>
    </w:p>
  </w:footnote>
  <w:footnote w:type="continuationSeparator" w:id="0">
    <w:p w14:paraId="5D39BAE5" w14:textId="77777777" w:rsidR="00E64550" w:rsidRDefault="0054760A">
      <w:r>
        <w:continuationSeparator/>
      </w:r>
    </w:p>
  </w:footnote>
  <w:footnote w:id="1">
    <w:p w14:paraId="0DCAC7CC" w14:textId="5C491CBA" w:rsidR="00E64550" w:rsidRDefault="0054760A">
      <w:pPr>
        <w:pStyle w:val="FootnoteText"/>
      </w:pPr>
      <w:r>
        <w:rPr>
          <w:rStyle w:val="FootnoteReference"/>
        </w:rPr>
        <w:footnoteRef/>
      </w:r>
      <w:r>
        <w:t xml:space="preserve"> The index represents the volume of GVA created compared to the ‘base’ year (currently </w:t>
      </w:r>
      <w:r w:rsidR="00343A75">
        <w:t>201</w:t>
      </w:r>
      <w:r w:rsidR="00900785">
        <w:t>9</w:t>
      </w:r>
      <w:r>
        <w:t>). Figures are deflated to remove the effect of price changes over time to produce an estimate of real terms (or constant price) growth. The figures are seasonally adjusted to remove the effects of regular, calendar based cycles in certain industries.</w:t>
      </w:r>
    </w:p>
  </w:footnote>
  <w:footnote w:id="2">
    <w:p w14:paraId="375F8532" w14:textId="72FB9588" w:rsidR="00E64550" w:rsidRDefault="0054760A">
      <w:pPr>
        <w:pStyle w:val="FootnoteText"/>
      </w:pPr>
      <w:r>
        <w:rPr>
          <w:rStyle w:val="FootnoteReference"/>
        </w:rPr>
        <w:footnoteRef/>
      </w:r>
      <w:r>
        <w:t xml:space="preserve"> Scottish Enterprise takes results from Life sciences company matching exercise and adds separate data for Higher Education Institutions (data provided by Higher Education Statistics Agency) to produce overall employment.</w:t>
      </w:r>
    </w:p>
  </w:footnote>
  <w:footnote w:id="3">
    <w:p w14:paraId="6685AFD2" w14:textId="77777777" w:rsidR="00E64550" w:rsidRDefault="0054760A">
      <w:pPr>
        <w:pStyle w:val="FootnoteText"/>
      </w:pPr>
      <w:r>
        <w:rPr>
          <w:rStyle w:val="FootnoteReference"/>
        </w:rPr>
        <w:footnoteRef/>
      </w:r>
      <w:r>
        <w:t xml:space="preserve"> The figures for the growth sectors are derived by aggregating estimates based at a low Standard Industrial Classification (SIC) level. Export Statistics Scotland is not designed to collect data at this level of accuracy, therefore these results should be treated as indicative.</w:t>
      </w:r>
    </w:p>
  </w:footnote>
  <w:footnote w:id="4">
    <w:p w14:paraId="31B6F145" w14:textId="77777777" w:rsidR="00E64550" w:rsidRDefault="0054760A">
      <w:pPr>
        <w:pStyle w:val="FootnoteText"/>
      </w:pPr>
      <w:r>
        <w:rPr>
          <w:rStyle w:val="FootnoteReference"/>
        </w:rPr>
        <w:footnoteRef/>
      </w:r>
      <w:r>
        <w:t xml:space="preserve"> Employment statistics referred to here are not directly comparable with Business Register and Employment Survey (BRES) employment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A19A82"/>
    <w:multiLevelType w:val="multilevel"/>
    <w:tmpl w:val="79C618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1B6C5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CC34831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1B3E778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0F8297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ECCB66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204ED64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DCE035A"/>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018E072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FDBE0E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4B239A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C9E87F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37915"/>
    <w:multiLevelType w:val="multilevel"/>
    <w:tmpl w:val="27E006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620916074">
    <w:abstractNumId w:val="1"/>
  </w:num>
  <w:num w:numId="2" w16cid:durableId="1359741899">
    <w:abstractNumId w:val="12"/>
  </w:num>
  <w:num w:numId="3" w16cid:durableId="491605556">
    <w:abstractNumId w:val="11"/>
  </w:num>
  <w:num w:numId="4" w16cid:durableId="93791669">
    <w:abstractNumId w:val="9"/>
  </w:num>
  <w:num w:numId="5" w16cid:durableId="1558203509">
    <w:abstractNumId w:val="8"/>
  </w:num>
  <w:num w:numId="6" w16cid:durableId="2052730890">
    <w:abstractNumId w:val="7"/>
  </w:num>
  <w:num w:numId="7" w16cid:durableId="303120487">
    <w:abstractNumId w:val="6"/>
  </w:num>
  <w:num w:numId="8" w16cid:durableId="1645575664">
    <w:abstractNumId w:val="10"/>
  </w:num>
  <w:num w:numId="9" w16cid:durableId="493647223">
    <w:abstractNumId w:val="5"/>
  </w:num>
  <w:num w:numId="10" w16cid:durableId="957106195">
    <w:abstractNumId w:val="4"/>
  </w:num>
  <w:num w:numId="11" w16cid:durableId="862746378">
    <w:abstractNumId w:val="3"/>
  </w:num>
  <w:num w:numId="12" w16cid:durableId="2089375054">
    <w:abstractNumId w:val="2"/>
  </w:num>
  <w:num w:numId="13" w16cid:durableId="24033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251"/>
    <w:rsid w:val="00011C8B"/>
    <w:rsid w:val="00012133"/>
    <w:rsid w:val="00040181"/>
    <w:rsid w:val="000657A1"/>
    <w:rsid w:val="000A6DAD"/>
    <w:rsid w:val="000B1768"/>
    <w:rsid w:val="00122492"/>
    <w:rsid w:val="001230FF"/>
    <w:rsid w:val="00162E1A"/>
    <w:rsid w:val="0017364C"/>
    <w:rsid w:val="00177A02"/>
    <w:rsid w:val="00180888"/>
    <w:rsid w:val="00183936"/>
    <w:rsid w:val="001A6DB7"/>
    <w:rsid w:val="001B6FE8"/>
    <w:rsid w:val="001E2894"/>
    <w:rsid w:val="001F29EB"/>
    <w:rsid w:val="002070B4"/>
    <w:rsid w:val="002376C8"/>
    <w:rsid w:val="00264CC6"/>
    <w:rsid w:val="0029588B"/>
    <w:rsid w:val="002B2721"/>
    <w:rsid w:val="002E1883"/>
    <w:rsid w:val="00311FBC"/>
    <w:rsid w:val="0032357B"/>
    <w:rsid w:val="00324FB6"/>
    <w:rsid w:val="003353E6"/>
    <w:rsid w:val="00343A75"/>
    <w:rsid w:val="00346532"/>
    <w:rsid w:val="003641D6"/>
    <w:rsid w:val="00391018"/>
    <w:rsid w:val="003B7D24"/>
    <w:rsid w:val="003C233C"/>
    <w:rsid w:val="00477DDA"/>
    <w:rsid w:val="004E29B3"/>
    <w:rsid w:val="00534962"/>
    <w:rsid w:val="0054760A"/>
    <w:rsid w:val="005772B0"/>
    <w:rsid w:val="00590D07"/>
    <w:rsid w:val="00597DB2"/>
    <w:rsid w:val="005E5D71"/>
    <w:rsid w:val="00606F83"/>
    <w:rsid w:val="00620B15"/>
    <w:rsid w:val="00650A88"/>
    <w:rsid w:val="00661382"/>
    <w:rsid w:val="006A307A"/>
    <w:rsid w:val="00703107"/>
    <w:rsid w:val="00756DE8"/>
    <w:rsid w:val="00762E9D"/>
    <w:rsid w:val="00765143"/>
    <w:rsid w:val="007752F5"/>
    <w:rsid w:val="00780165"/>
    <w:rsid w:val="00784D58"/>
    <w:rsid w:val="007A282E"/>
    <w:rsid w:val="007B5621"/>
    <w:rsid w:val="007C4FD1"/>
    <w:rsid w:val="007E3DF9"/>
    <w:rsid w:val="007F58C4"/>
    <w:rsid w:val="00806C67"/>
    <w:rsid w:val="0080797D"/>
    <w:rsid w:val="0081595C"/>
    <w:rsid w:val="00825E5A"/>
    <w:rsid w:val="00883A3E"/>
    <w:rsid w:val="008A54EB"/>
    <w:rsid w:val="008B5DB9"/>
    <w:rsid w:val="008D6863"/>
    <w:rsid w:val="008E7D8C"/>
    <w:rsid w:val="00900785"/>
    <w:rsid w:val="00911933"/>
    <w:rsid w:val="00937BD4"/>
    <w:rsid w:val="00965897"/>
    <w:rsid w:val="00965B9A"/>
    <w:rsid w:val="009B6E71"/>
    <w:rsid w:val="009D6B2D"/>
    <w:rsid w:val="00A070AF"/>
    <w:rsid w:val="00A23755"/>
    <w:rsid w:val="00A47025"/>
    <w:rsid w:val="00AB02AC"/>
    <w:rsid w:val="00AF3806"/>
    <w:rsid w:val="00B57B90"/>
    <w:rsid w:val="00B62333"/>
    <w:rsid w:val="00B86B75"/>
    <w:rsid w:val="00BC48D5"/>
    <w:rsid w:val="00C07A20"/>
    <w:rsid w:val="00C1306A"/>
    <w:rsid w:val="00C36279"/>
    <w:rsid w:val="00C73098"/>
    <w:rsid w:val="00C85BCE"/>
    <w:rsid w:val="00C9036D"/>
    <w:rsid w:val="00D460B1"/>
    <w:rsid w:val="00D6544D"/>
    <w:rsid w:val="00D93B83"/>
    <w:rsid w:val="00DE4F28"/>
    <w:rsid w:val="00E03C3A"/>
    <w:rsid w:val="00E05ADE"/>
    <w:rsid w:val="00E315A3"/>
    <w:rsid w:val="00E45096"/>
    <w:rsid w:val="00E64550"/>
    <w:rsid w:val="00E736D6"/>
    <w:rsid w:val="00E7722B"/>
    <w:rsid w:val="00E834C1"/>
    <w:rsid w:val="00E97454"/>
    <w:rsid w:val="00EB4EFA"/>
    <w:rsid w:val="00EC53B5"/>
    <w:rsid w:val="00EE0F69"/>
    <w:rsid w:val="00F0021E"/>
    <w:rsid w:val="00F00DB8"/>
    <w:rsid w:val="00F02947"/>
    <w:rsid w:val="00F6013C"/>
    <w:rsid w:val="00F658AD"/>
    <w:rsid w:val="00FA6F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EF6B"/>
  <w15:docId w15:val="{313D51FF-0B2A-4B46-8815-123E1927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4EB"/>
    <w:rPr>
      <w:rFonts w:ascii="Arial" w:hAnsi="Arial"/>
    </w:rPr>
  </w:style>
  <w:style w:type="paragraph" w:styleId="Heading1">
    <w:name w:val="heading 1"/>
    <w:basedOn w:val="Normal"/>
    <w:next w:val="BodyText"/>
    <w:uiPriority w:val="9"/>
    <w:qFormat/>
    <w:rsid w:val="009B750C"/>
    <w:pPr>
      <w:keepNext/>
      <w:keepLines/>
      <w:pBdr>
        <w:bottom w:val="single" w:sz="4" w:space="1" w:color="auto"/>
      </w:pBdr>
      <w:spacing w:before="480" w:after="0"/>
      <w:outlineLvl w:val="0"/>
    </w:pPr>
    <w:rPr>
      <w:rFonts w:eastAsiaTheme="majorEastAsia" w:cstheme="majorBidi"/>
      <w:b/>
      <w:bCs/>
      <w:sz w:val="28"/>
      <w:szCs w:val="32"/>
    </w:rPr>
  </w:style>
  <w:style w:type="paragraph" w:styleId="Heading2">
    <w:name w:val="heading 2"/>
    <w:basedOn w:val="Normal"/>
    <w:next w:val="BodyText"/>
    <w:link w:val="Heading2Char"/>
    <w:uiPriority w:val="9"/>
    <w:unhideWhenUsed/>
    <w:qFormat/>
    <w:rsid w:val="003C6F64"/>
    <w:pPr>
      <w:keepNext/>
      <w:keepLines/>
      <w:spacing w:before="200" w:after="0"/>
      <w:outlineLvl w:val="1"/>
    </w:pPr>
    <w:rPr>
      <w:rFonts w:eastAsiaTheme="majorEastAsia" w:cstheme="majorBidi"/>
      <w:b/>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F5239"/>
    <w:pPr>
      <w:keepNext/>
      <w:keepLines/>
      <w:shd w:val="clear" w:color="auto" w:fill="1F497D" w:themeFill="text2"/>
      <w:spacing w:before="480" w:after="240"/>
      <w:jc w:val="center"/>
    </w:pPr>
    <w:rPr>
      <w:rFonts w:eastAsiaTheme="majorEastAsia" w:cstheme="majorBidi"/>
      <w:b/>
      <w:bCs/>
      <w:color w:val="FFFFFF" w:themeColor="background1"/>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623EAD"/>
    <w:pPr>
      <w:keepNext/>
      <w:keepLines/>
      <w:shd w:val="clear" w:color="auto" w:fill="1F497D" w:themeFill="text2"/>
      <w:spacing w:after="80"/>
      <w:jc w:val="center"/>
    </w:pPr>
    <w:rPr>
      <w:rFonts w:ascii="Arial" w:hAnsi="Arial"/>
      <w:b/>
      <w:color w:val="FFFFFF" w:themeColor="background1"/>
    </w:rPr>
  </w:style>
  <w:style w:type="paragraph" w:styleId="Date">
    <w:name w:val="Date"/>
    <w:next w:val="BodyText"/>
    <w:link w:val="DateChar"/>
    <w:qFormat/>
    <w:rsid w:val="00623EAD"/>
    <w:pPr>
      <w:keepNext/>
      <w:keepLines/>
      <w:shd w:val="clear" w:color="auto" w:fill="1F497D" w:themeFill="text2"/>
      <w:jc w:val="center"/>
    </w:pPr>
    <w:rPr>
      <w:rFonts w:ascii="Arial" w:hAnsi="Arial"/>
      <w:b/>
      <w:color w:val="FFFFFF" w:themeColor="background1"/>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B750C"/>
    <w:pPr>
      <w:spacing w:before="100" w:after="100"/>
      <w:jc w:val="center"/>
    </w:pPr>
    <w:rPr>
      <w:rFonts w:eastAsiaTheme="majorEastAsia" w:cstheme="majorBidi"/>
      <w:bCs/>
      <w:i/>
      <w:szCs w:val="20"/>
    </w:rPr>
  </w:style>
  <w:style w:type="paragraph" w:styleId="FootnoteText">
    <w:name w:val="footnote text"/>
    <w:basedOn w:val="Normal"/>
    <w:link w:val="FootnoteTextChar"/>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23EAD"/>
  </w:style>
  <w:style w:type="character" w:styleId="FollowedHyperlink">
    <w:name w:val="FollowedHyperlink"/>
    <w:basedOn w:val="DefaultParagraphFont"/>
    <w:semiHidden/>
    <w:unhideWhenUsed/>
    <w:rsid w:val="002E1883"/>
    <w:rPr>
      <w:color w:val="800080" w:themeColor="followedHyperlink"/>
      <w:u w:val="single"/>
    </w:rPr>
  </w:style>
  <w:style w:type="character" w:customStyle="1" w:styleId="Heading2Char">
    <w:name w:val="Heading 2 Char"/>
    <w:basedOn w:val="DefaultParagraphFont"/>
    <w:link w:val="Heading2"/>
    <w:uiPriority w:val="9"/>
    <w:rsid w:val="00597DB2"/>
    <w:rPr>
      <w:rFonts w:ascii="Arial" w:eastAsiaTheme="majorEastAsia" w:hAnsi="Arial" w:cstheme="majorBidi"/>
      <w:b/>
      <w:bCs/>
      <w:szCs w:val="32"/>
    </w:rPr>
  </w:style>
  <w:style w:type="character" w:customStyle="1" w:styleId="DateChar">
    <w:name w:val="Date Char"/>
    <w:basedOn w:val="DefaultParagraphFont"/>
    <w:link w:val="Date"/>
    <w:rsid w:val="002376C8"/>
    <w:rPr>
      <w:rFonts w:ascii="Arial" w:hAnsi="Arial"/>
      <w:b/>
      <w:color w:val="FFFFFF" w:themeColor="background1"/>
      <w:shd w:val="clear" w:color="auto" w:fill="1F497D" w:themeFill="text2"/>
    </w:rPr>
  </w:style>
  <w:style w:type="paragraph" w:styleId="BalloonText">
    <w:name w:val="Balloon Text"/>
    <w:basedOn w:val="Normal"/>
    <w:link w:val="BalloonTextChar"/>
    <w:semiHidden/>
    <w:unhideWhenUsed/>
    <w:rsid w:val="0053496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34962"/>
    <w:rPr>
      <w:rFonts w:ascii="Segoe UI" w:hAnsi="Segoe UI" w:cs="Segoe UI"/>
      <w:sz w:val="18"/>
      <w:szCs w:val="18"/>
    </w:rPr>
  </w:style>
  <w:style w:type="character" w:styleId="CommentReference">
    <w:name w:val="annotation reference"/>
    <w:basedOn w:val="DefaultParagraphFont"/>
    <w:semiHidden/>
    <w:unhideWhenUsed/>
    <w:rsid w:val="000B1768"/>
    <w:rPr>
      <w:sz w:val="16"/>
      <w:szCs w:val="16"/>
    </w:rPr>
  </w:style>
  <w:style w:type="paragraph" w:styleId="CommentText">
    <w:name w:val="annotation text"/>
    <w:basedOn w:val="Normal"/>
    <w:link w:val="CommentTextChar"/>
    <w:semiHidden/>
    <w:unhideWhenUsed/>
    <w:rsid w:val="000B1768"/>
    <w:rPr>
      <w:sz w:val="20"/>
      <w:szCs w:val="20"/>
    </w:rPr>
  </w:style>
  <w:style w:type="character" w:customStyle="1" w:styleId="CommentTextChar">
    <w:name w:val="Comment Text Char"/>
    <w:basedOn w:val="DefaultParagraphFont"/>
    <w:link w:val="CommentText"/>
    <w:semiHidden/>
    <w:rsid w:val="000B1768"/>
    <w:rPr>
      <w:rFonts w:ascii="Arial" w:hAnsi="Arial"/>
      <w:sz w:val="20"/>
      <w:szCs w:val="20"/>
    </w:rPr>
  </w:style>
  <w:style w:type="paragraph" w:styleId="CommentSubject">
    <w:name w:val="annotation subject"/>
    <w:basedOn w:val="CommentText"/>
    <w:next w:val="CommentText"/>
    <w:link w:val="CommentSubjectChar"/>
    <w:semiHidden/>
    <w:unhideWhenUsed/>
    <w:rsid w:val="000B1768"/>
    <w:rPr>
      <w:b/>
      <w:bCs/>
    </w:rPr>
  </w:style>
  <w:style w:type="character" w:customStyle="1" w:styleId="CommentSubjectChar">
    <w:name w:val="Comment Subject Char"/>
    <w:basedOn w:val="CommentTextChar"/>
    <w:link w:val="CommentSubject"/>
    <w:semiHidden/>
    <w:rsid w:val="000B1768"/>
    <w:rPr>
      <w:rFonts w:ascii="Arial" w:hAnsi="Arial"/>
      <w:b/>
      <w:bCs/>
      <w:sz w:val="20"/>
      <w:szCs w:val="20"/>
    </w:rPr>
  </w:style>
  <w:style w:type="character" w:customStyle="1" w:styleId="FootnoteTextChar">
    <w:name w:val="Footnote Text Char"/>
    <w:basedOn w:val="DefaultParagraphFont"/>
    <w:link w:val="FootnoteText"/>
    <w:uiPriority w:val="9"/>
    <w:rsid w:val="008A54EB"/>
    <w:rPr>
      <w:rFonts w:ascii="Arial" w:hAnsi="Arial"/>
    </w:rPr>
  </w:style>
  <w:style w:type="paragraph" w:styleId="Revision">
    <w:name w:val="Revision"/>
    <w:hidden/>
    <w:semiHidden/>
    <w:rsid w:val="00477DDA"/>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0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ov.scot/Topics/Statistics/Browse/Business/Publications/GrowthSectors/LifeSciencesSourcebook" TargetMode="External"/><Relationship Id="rId12"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binaries/content/documents/govscot/publications/statistics/2019/07/growth-sector-statistics/documents/life-sciences-cluster/life-sciences-cluster/govscot%3Adocument/Life%2Bsciences%2Bcluster.xlsx" TargetMode="External"/><Relationship Id="rId5" Type="http://schemas.openxmlformats.org/officeDocument/2006/relationships/footnotes" Target="footnotes.xml"/><Relationship Id="rId10" Type="http://schemas.openxmlformats.org/officeDocument/2006/relationships/hyperlink" Target="https://www.gov.scot/publications/growth-sector-statistic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Feb%202024%20update%20-%20Demo,%20Exports,%20LS%20Cluster\GDP\Growth%20Industries%20-%20Table%204%20-%202023Q3-%20GDP%20work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IDBR\2023\Charts%20and%20workings%20for%20GS%20briefing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t>Scottish Quarterly GDP Index, 2023 Q4</a:t>
            </a:r>
          </a:p>
        </c:rich>
      </c:tx>
      <c:layout>
        <c:manualLayout>
          <c:xMode val="edge"/>
          <c:yMode val="edge"/>
          <c:x val="0.23651608452789555"/>
          <c:y val="1.76212016051185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5"/>
          <c:order val="0"/>
          <c:tx>
            <c:v>Whole Economy</c:v>
          </c:tx>
          <c:spPr>
            <a:ln w="41275" cap="sq">
              <a:solidFill>
                <a:srgbClr val="2DA197"/>
              </a:solidFill>
              <a:prstDash val="sysDot"/>
              <a:bevel/>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Sheet1!$A$4:$CZ$4</c:f>
              <c:numCache>
                <c:formatCode>0.0</c:formatCode>
                <c:ptCount val="104"/>
                <c:pt idx="0">
                  <c:v>72.7</c:v>
                </c:pt>
                <c:pt idx="1">
                  <c:v>73</c:v>
                </c:pt>
                <c:pt idx="2">
                  <c:v>72.599999999999994</c:v>
                </c:pt>
                <c:pt idx="3">
                  <c:v>72.599999999999994</c:v>
                </c:pt>
                <c:pt idx="4">
                  <c:v>72.7</c:v>
                </c:pt>
                <c:pt idx="5">
                  <c:v>72.900000000000006</c:v>
                </c:pt>
                <c:pt idx="6">
                  <c:v>73.2</c:v>
                </c:pt>
                <c:pt idx="7">
                  <c:v>74.099999999999994</c:v>
                </c:pt>
                <c:pt idx="8">
                  <c:v>74.8</c:v>
                </c:pt>
                <c:pt idx="9">
                  <c:v>75.099999999999994</c:v>
                </c:pt>
                <c:pt idx="10">
                  <c:v>75.3</c:v>
                </c:pt>
                <c:pt idx="11">
                  <c:v>75.3</c:v>
                </c:pt>
                <c:pt idx="12">
                  <c:v>75.599999999999994</c:v>
                </c:pt>
                <c:pt idx="13">
                  <c:v>75.599999999999994</c:v>
                </c:pt>
                <c:pt idx="14">
                  <c:v>76.400000000000006</c:v>
                </c:pt>
                <c:pt idx="15">
                  <c:v>77.400000000000006</c:v>
                </c:pt>
                <c:pt idx="16">
                  <c:v>77.099999999999994</c:v>
                </c:pt>
                <c:pt idx="17">
                  <c:v>77.5</c:v>
                </c:pt>
                <c:pt idx="18">
                  <c:v>78.099999999999994</c:v>
                </c:pt>
                <c:pt idx="19">
                  <c:v>78.2</c:v>
                </c:pt>
                <c:pt idx="20">
                  <c:v>78.7</c:v>
                </c:pt>
                <c:pt idx="21">
                  <c:v>79.599999999999994</c:v>
                </c:pt>
                <c:pt idx="22">
                  <c:v>80.8</c:v>
                </c:pt>
                <c:pt idx="23">
                  <c:v>80.8</c:v>
                </c:pt>
                <c:pt idx="24">
                  <c:v>81.8</c:v>
                </c:pt>
                <c:pt idx="25">
                  <c:v>81.900000000000006</c:v>
                </c:pt>
                <c:pt idx="26">
                  <c:v>81.900000000000006</c:v>
                </c:pt>
                <c:pt idx="27">
                  <c:v>82.9</c:v>
                </c:pt>
                <c:pt idx="28">
                  <c:v>82.5</c:v>
                </c:pt>
                <c:pt idx="29">
                  <c:v>82.7</c:v>
                </c:pt>
                <c:pt idx="30">
                  <c:v>83.4</c:v>
                </c:pt>
                <c:pt idx="31">
                  <c:v>84.5</c:v>
                </c:pt>
                <c:pt idx="32">
                  <c:v>85.5</c:v>
                </c:pt>
                <c:pt idx="33">
                  <c:v>85.7</c:v>
                </c:pt>
                <c:pt idx="34">
                  <c:v>85.6</c:v>
                </c:pt>
                <c:pt idx="35">
                  <c:v>86.3</c:v>
                </c:pt>
                <c:pt idx="36">
                  <c:v>86.4</c:v>
                </c:pt>
                <c:pt idx="37">
                  <c:v>86.2</c:v>
                </c:pt>
                <c:pt idx="38">
                  <c:v>86.5</c:v>
                </c:pt>
                <c:pt idx="39">
                  <c:v>87.2</c:v>
                </c:pt>
                <c:pt idx="40">
                  <c:v>88.6</c:v>
                </c:pt>
                <c:pt idx="41">
                  <c:v>89.3</c:v>
                </c:pt>
                <c:pt idx="42">
                  <c:v>88.3</c:v>
                </c:pt>
                <c:pt idx="43">
                  <c:v>86.7</c:v>
                </c:pt>
                <c:pt idx="44">
                  <c:v>86.1</c:v>
                </c:pt>
                <c:pt idx="45">
                  <c:v>85.5</c:v>
                </c:pt>
                <c:pt idx="46">
                  <c:v>86</c:v>
                </c:pt>
                <c:pt idx="47">
                  <c:v>86.2</c:v>
                </c:pt>
                <c:pt idx="48">
                  <c:v>86.8</c:v>
                </c:pt>
                <c:pt idx="49">
                  <c:v>87.7</c:v>
                </c:pt>
                <c:pt idx="50">
                  <c:v>88.2</c:v>
                </c:pt>
                <c:pt idx="51">
                  <c:v>87.9</c:v>
                </c:pt>
                <c:pt idx="52">
                  <c:v>88.6</c:v>
                </c:pt>
                <c:pt idx="53">
                  <c:v>89</c:v>
                </c:pt>
                <c:pt idx="54">
                  <c:v>89.4</c:v>
                </c:pt>
                <c:pt idx="55">
                  <c:v>89.7</c:v>
                </c:pt>
                <c:pt idx="56">
                  <c:v>90.6</c:v>
                </c:pt>
                <c:pt idx="57">
                  <c:v>90.2</c:v>
                </c:pt>
                <c:pt idx="58">
                  <c:v>90.5</c:v>
                </c:pt>
                <c:pt idx="59">
                  <c:v>91.4</c:v>
                </c:pt>
                <c:pt idx="60">
                  <c:v>91.3</c:v>
                </c:pt>
                <c:pt idx="61">
                  <c:v>92.1</c:v>
                </c:pt>
                <c:pt idx="62">
                  <c:v>92.4</c:v>
                </c:pt>
                <c:pt idx="63">
                  <c:v>92.9</c:v>
                </c:pt>
                <c:pt idx="64">
                  <c:v>93.8</c:v>
                </c:pt>
                <c:pt idx="65">
                  <c:v>94.7</c:v>
                </c:pt>
                <c:pt idx="66">
                  <c:v>95.7</c:v>
                </c:pt>
                <c:pt idx="67">
                  <c:v>96.1</c:v>
                </c:pt>
                <c:pt idx="68">
                  <c:v>96.2</c:v>
                </c:pt>
                <c:pt idx="69">
                  <c:v>96.2</c:v>
                </c:pt>
                <c:pt idx="70">
                  <c:v>96.2</c:v>
                </c:pt>
                <c:pt idx="71">
                  <c:v>96.5</c:v>
                </c:pt>
                <c:pt idx="72">
                  <c:v>96.8</c:v>
                </c:pt>
                <c:pt idx="73">
                  <c:v>96.7</c:v>
                </c:pt>
                <c:pt idx="74">
                  <c:v>97.2</c:v>
                </c:pt>
                <c:pt idx="75">
                  <c:v>96.9</c:v>
                </c:pt>
                <c:pt idx="76">
                  <c:v>98.2</c:v>
                </c:pt>
                <c:pt idx="77">
                  <c:v>98.9</c:v>
                </c:pt>
                <c:pt idx="78">
                  <c:v>99.5</c:v>
                </c:pt>
                <c:pt idx="79">
                  <c:v>99.6</c:v>
                </c:pt>
                <c:pt idx="80">
                  <c:v>99.5</c:v>
                </c:pt>
                <c:pt idx="81">
                  <c:v>99.6</c:v>
                </c:pt>
                <c:pt idx="82">
                  <c:v>99.4</c:v>
                </c:pt>
                <c:pt idx="83">
                  <c:v>99.1</c:v>
                </c:pt>
                <c:pt idx="84">
                  <c:v>99.2</c:v>
                </c:pt>
                <c:pt idx="85">
                  <c:v>100</c:v>
                </c:pt>
                <c:pt idx="86">
                  <c:v>100.3</c:v>
                </c:pt>
                <c:pt idx="87">
                  <c:v>100.5</c:v>
                </c:pt>
                <c:pt idx="88">
                  <c:v>97.4</c:v>
                </c:pt>
                <c:pt idx="89">
                  <c:v>75.5</c:v>
                </c:pt>
                <c:pt idx="90">
                  <c:v>88.8</c:v>
                </c:pt>
                <c:pt idx="91">
                  <c:v>90.2</c:v>
                </c:pt>
                <c:pt idx="92">
                  <c:v>89.1</c:v>
                </c:pt>
                <c:pt idx="93">
                  <c:v>96</c:v>
                </c:pt>
                <c:pt idx="94">
                  <c:v>98.3</c:v>
                </c:pt>
                <c:pt idx="95">
                  <c:v>100.7</c:v>
                </c:pt>
                <c:pt idx="96">
                  <c:v>101.6</c:v>
                </c:pt>
                <c:pt idx="97">
                  <c:v>101.7</c:v>
                </c:pt>
                <c:pt idx="98">
                  <c:v>101.5</c:v>
                </c:pt>
                <c:pt idx="99">
                  <c:v>101.9</c:v>
                </c:pt>
                <c:pt idx="100">
                  <c:v>102.1</c:v>
                </c:pt>
                <c:pt idx="101">
                  <c:v>101.8</c:v>
                </c:pt>
                <c:pt idx="102">
                  <c:v>102.2</c:v>
                </c:pt>
                <c:pt idx="103" formatCode="General">
                  <c:v>101.6</c:v>
                </c:pt>
              </c:numCache>
            </c:numRef>
          </c:val>
          <c:smooth val="0"/>
          <c:extLst>
            <c:ext xmlns:c16="http://schemas.microsoft.com/office/drawing/2014/chart" uri="{C3380CC4-5D6E-409C-BE32-E72D297353CC}">
              <c16:uniqueId val="{00000000-0867-457A-9CF4-38938B10CEA4}"/>
            </c:ext>
          </c:extLst>
        </c:ser>
        <c:ser>
          <c:idx val="0"/>
          <c:order val="1"/>
          <c:tx>
            <c:strRef>
              <c:f>'Table 4new'!$B$10</c:f>
              <c:strCache>
                <c:ptCount val="1"/>
                <c:pt idx="0">
                  <c:v>Life Sciences</c:v>
                </c:pt>
              </c:strCache>
            </c:strRef>
          </c:tx>
          <c:spPr>
            <a:ln w="44450" cap="rnd">
              <a:solidFill>
                <a:srgbClr val="1C655F"/>
              </a:solidFill>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'Table 4new'!$C$10:$DB$10</c:f>
              <c:numCache>
                <c:formatCode>0.0</c:formatCode>
                <c:ptCount val="104"/>
                <c:pt idx="0">
                  <c:v>65.400000000000006</c:v>
                </c:pt>
                <c:pt idx="1">
                  <c:v>72.599999999999994</c:v>
                </c:pt>
                <c:pt idx="2">
                  <c:v>68.5</c:v>
                </c:pt>
                <c:pt idx="3">
                  <c:v>70.099999999999994</c:v>
                </c:pt>
                <c:pt idx="4">
                  <c:v>75.599999999999994</c:v>
                </c:pt>
                <c:pt idx="5">
                  <c:v>77.5</c:v>
                </c:pt>
                <c:pt idx="6">
                  <c:v>82.8</c:v>
                </c:pt>
                <c:pt idx="7">
                  <c:v>78.7</c:v>
                </c:pt>
                <c:pt idx="8">
                  <c:v>68.599999999999994</c:v>
                </c:pt>
                <c:pt idx="9">
                  <c:v>67.3</c:v>
                </c:pt>
                <c:pt idx="10">
                  <c:v>73.5</c:v>
                </c:pt>
                <c:pt idx="11">
                  <c:v>66.099999999999994</c:v>
                </c:pt>
                <c:pt idx="12">
                  <c:v>78.3</c:v>
                </c:pt>
                <c:pt idx="13">
                  <c:v>77.7</c:v>
                </c:pt>
                <c:pt idx="14">
                  <c:v>72.400000000000006</c:v>
                </c:pt>
                <c:pt idx="15">
                  <c:v>85.4</c:v>
                </c:pt>
                <c:pt idx="16">
                  <c:v>89.5</c:v>
                </c:pt>
                <c:pt idx="17">
                  <c:v>84.6</c:v>
                </c:pt>
                <c:pt idx="18">
                  <c:v>84.4</c:v>
                </c:pt>
                <c:pt idx="19">
                  <c:v>76.5</c:v>
                </c:pt>
                <c:pt idx="20">
                  <c:v>74.099999999999994</c:v>
                </c:pt>
                <c:pt idx="21">
                  <c:v>79.5</c:v>
                </c:pt>
                <c:pt idx="22">
                  <c:v>81.5</c:v>
                </c:pt>
                <c:pt idx="23">
                  <c:v>89.2</c:v>
                </c:pt>
                <c:pt idx="24">
                  <c:v>81.900000000000006</c:v>
                </c:pt>
                <c:pt idx="25">
                  <c:v>85.4</c:v>
                </c:pt>
                <c:pt idx="26">
                  <c:v>88.7</c:v>
                </c:pt>
                <c:pt idx="27">
                  <c:v>86.7</c:v>
                </c:pt>
                <c:pt idx="28">
                  <c:v>97</c:v>
                </c:pt>
                <c:pt idx="29">
                  <c:v>106.2</c:v>
                </c:pt>
                <c:pt idx="30">
                  <c:v>104.8</c:v>
                </c:pt>
                <c:pt idx="31">
                  <c:v>104.1</c:v>
                </c:pt>
                <c:pt idx="32">
                  <c:v>105.7</c:v>
                </c:pt>
                <c:pt idx="33">
                  <c:v>103.7</c:v>
                </c:pt>
                <c:pt idx="34">
                  <c:v>96.3</c:v>
                </c:pt>
                <c:pt idx="35">
                  <c:v>103.1</c:v>
                </c:pt>
                <c:pt idx="36">
                  <c:v>102.8</c:v>
                </c:pt>
                <c:pt idx="37">
                  <c:v>97.7</c:v>
                </c:pt>
                <c:pt idx="38">
                  <c:v>95.1</c:v>
                </c:pt>
                <c:pt idx="39">
                  <c:v>96.6</c:v>
                </c:pt>
                <c:pt idx="40">
                  <c:v>93.9</c:v>
                </c:pt>
                <c:pt idx="41">
                  <c:v>90.5</c:v>
                </c:pt>
                <c:pt idx="42">
                  <c:v>91.8</c:v>
                </c:pt>
                <c:pt idx="43">
                  <c:v>87.7</c:v>
                </c:pt>
                <c:pt idx="44">
                  <c:v>79.2</c:v>
                </c:pt>
                <c:pt idx="45">
                  <c:v>76.599999999999994</c:v>
                </c:pt>
                <c:pt idx="46">
                  <c:v>81.5</c:v>
                </c:pt>
                <c:pt idx="47">
                  <c:v>81.099999999999994</c:v>
                </c:pt>
                <c:pt idx="48">
                  <c:v>84</c:v>
                </c:pt>
                <c:pt idx="49">
                  <c:v>86.8</c:v>
                </c:pt>
                <c:pt idx="50">
                  <c:v>89.9</c:v>
                </c:pt>
                <c:pt idx="51">
                  <c:v>86.9</c:v>
                </c:pt>
                <c:pt idx="52">
                  <c:v>89.7</c:v>
                </c:pt>
                <c:pt idx="53">
                  <c:v>95.8</c:v>
                </c:pt>
                <c:pt idx="54">
                  <c:v>93.3</c:v>
                </c:pt>
                <c:pt idx="55">
                  <c:v>94.3</c:v>
                </c:pt>
                <c:pt idx="56">
                  <c:v>91.8</c:v>
                </c:pt>
                <c:pt idx="57">
                  <c:v>81.900000000000006</c:v>
                </c:pt>
                <c:pt idx="58">
                  <c:v>83.1</c:v>
                </c:pt>
                <c:pt idx="59">
                  <c:v>87.3</c:v>
                </c:pt>
                <c:pt idx="60">
                  <c:v>81.2</c:v>
                </c:pt>
                <c:pt idx="61">
                  <c:v>81.400000000000006</c:v>
                </c:pt>
                <c:pt idx="62">
                  <c:v>77.8</c:v>
                </c:pt>
                <c:pt idx="63">
                  <c:v>77.5</c:v>
                </c:pt>
                <c:pt idx="64">
                  <c:v>83.8</c:v>
                </c:pt>
                <c:pt idx="65">
                  <c:v>86.2</c:v>
                </c:pt>
                <c:pt idx="66">
                  <c:v>85.1</c:v>
                </c:pt>
                <c:pt idx="67">
                  <c:v>85.7</c:v>
                </c:pt>
                <c:pt idx="68">
                  <c:v>86.3</c:v>
                </c:pt>
                <c:pt idx="69">
                  <c:v>88.9</c:v>
                </c:pt>
                <c:pt idx="70">
                  <c:v>87.1</c:v>
                </c:pt>
                <c:pt idx="71">
                  <c:v>92.2</c:v>
                </c:pt>
                <c:pt idx="72">
                  <c:v>83.8</c:v>
                </c:pt>
                <c:pt idx="73">
                  <c:v>80.400000000000006</c:v>
                </c:pt>
                <c:pt idx="74">
                  <c:v>81.5</c:v>
                </c:pt>
                <c:pt idx="75">
                  <c:v>84.5</c:v>
                </c:pt>
                <c:pt idx="76">
                  <c:v>90.7</c:v>
                </c:pt>
                <c:pt idx="77">
                  <c:v>92.2</c:v>
                </c:pt>
                <c:pt idx="78">
                  <c:v>102.5</c:v>
                </c:pt>
                <c:pt idx="79">
                  <c:v>99.8</c:v>
                </c:pt>
                <c:pt idx="80">
                  <c:v>93.7</c:v>
                </c:pt>
                <c:pt idx="81">
                  <c:v>103.1</c:v>
                </c:pt>
                <c:pt idx="82">
                  <c:v>100.6</c:v>
                </c:pt>
                <c:pt idx="83">
                  <c:v>101.3</c:v>
                </c:pt>
                <c:pt idx="84">
                  <c:v>104.6</c:v>
                </c:pt>
                <c:pt idx="85">
                  <c:v>96.3</c:v>
                </c:pt>
                <c:pt idx="86">
                  <c:v>100.9</c:v>
                </c:pt>
                <c:pt idx="87">
                  <c:v>98.2</c:v>
                </c:pt>
                <c:pt idx="88">
                  <c:v>89.5</c:v>
                </c:pt>
                <c:pt idx="89">
                  <c:v>86.5</c:v>
                </c:pt>
                <c:pt idx="90">
                  <c:v>89.2</c:v>
                </c:pt>
                <c:pt idx="91">
                  <c:v>100.6</c:v>
                </c:pt>
                <c:pt idx="92">
                  <c:v>98.2</c:v>
                </c:pt>
                <c:pt idx="93">
                  <c:v>106.5</c:v>
                </c:pt>
                <c:pt idx="94">
                  <c:v>103.9</c:v>
                </c:pt>
                <c:pt idx="95">
                  <c:v>98.5</c:v>
                </c:pt>
                <c:pt idx="96">
                  <c:v>101.8</c:v>
                </c:pt>
                <c:pt idx="97">
                  <c:v>99.5</c:v>
                </c:pt>
                <c:pt idx="98">
                  <c:v>103.9</c:v>
                </c:pt>
                <c:pt idx="99">
                  <c:v>104.7</c:v>
                </c:pt>
                <c:pt idx="100">
                  <c:v>102.4</c:v>
                </c:pt>
                <c:pt idx="101">
                  <c:v>103.1</c:v>
                </c:pt>
                <c:pt idx="102">
                  <c:v>98.1</c:v>
                </c:pt>
                <c:pt idx="103">
                  <c:v>98.6</c:v>
                </c:pt>
              </c:numCache>
            </c:numRef>
          </c:val>
          <c:smooth val="0"/>
          <c:extLst>
            <c:ext xmlns:c16="http://schemas.microsoft.com/office/drawing/2014/chart" uri="{C3380CC4-5D6E-409C-BE32-E72D297353CC}">
              <c16:uniqueId val="{00000001-0867-457A-9CF4-38938B10CEA4}"/>
            </c:ext>
          </c:extLst>
        </c:ser>
        <c:dLbls>
          <c:showLegendKey val="0"/>
          <c:showVal val="0"/>
          <c:showCatName val="0"/>
          <c:showSerName val="0"/>
          <c:showPercent val="0"/>
          <c:showBubbleSize val="0"/>
        </c:dLbls>
        <c:smooth val="0"/>
        <c:axId val="598340280"/>
        <c:axId val="730896784"/>
      </c:lineChart>
      <c:catAx>
        <c:axId val="59834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30896784"/>
        <c:crosses val="autoZero"/>
        <c:auto val="1"/>
        <c:lblAlgn val="ctr"/>
        <c:lblOffset val="100"/>
        <c:noMultiLvlLbl val="0"/>
      </c:catAx>
      <c:valAx>
        <c:axId val="730896784"/>
        <c:scaling>
          <c:orientation val="minMax"/>
          <c:max val="120"/>
          <c:min val="4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GB"/>
                  <a:t>GDP Index (2019= 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983402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GB"/>
              <a:t>Total number of enterprises in the Scottish Life Science Growth Sector, 2008-2023</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rgbClr val="007E39"/>
              </a:solidFill>
              <a:round/>
            </a:ln>
            <a:effectLst/>
          </c:spPr>
          <c:marker>
            <c:symbol val="none"/>
          </c:marker>
          <c:cat>
            <c:numRef>
              <c:f>'Table 1.1'!$D$6:$S$6</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'Table 1.1'!$D$42:$S$42</c:f>
              <c:numCache>
                <c:formatCode>#,##0</c:formatCode>
                <c:ptCount val="16"/>
                <c:pt idx="0">
                  <c:v>440</c:v>
                </c:pt>
                <c:pt idx="1">
                  <c:v>450</c:v>
                </c:pt>
                <c:pt idx="2">
                  <c:v>450</c:v>
                </c:pt>
                <c:pt idx="3">
                  <c:v>440</c:v>
                </c:pt>
                <c:pt idx="4">
                  <c:v>460</c:v>
                </c:pt>
                <c:pt idx="5">
                  <c:v>480</c:v>
                </c:pt>
                <c:pt idx="6">
                  <c:v>490</c:v>
                </c:pt>
                <c:pt idx="7">
                  <c:v>520</c:v>
                </c:pt>
                <c:pt idx="8">
                  <c:v>535</c:v>
                </c:pt>
                <c:pt idx="9">
                  <c:v>540</c:v>
                </c:pt>
                <c:pt idx="10">
                  <c:v>545</c:v>
                </c:pt>
                <c:pt idx="11">
                  <c:v>565</c:v>
                </c:pt>
                <c:pt idx="12">
                  <c:v>575</c:v>
                </c:pt>
                <c:pt idx="13">
                  <c:v>585</c:v>
                </c:pt>
                <c:pt idx="14">
                  <c:v>605</c:v>
                </c:pt>
                <c:pt idx="15">
                  <c:v>590</c:v>
                </c:pt>
              </c:numCache>
            </c:numRef>
          </c:val>
          <c:smooth val="0"/>
          <c:extLst>
            <c:ext xmlns:c16="http://schemas.microsoft.com/office/drawing/2014/chart" uri="{C3380CC4-5D6E-409C-BE32-E72D297353CC}">
              <c16:uniqueId val="{00000000-9111-4EAF-8E8F-89CADF983047}"/>
            </c:ext>
          </c:extLst>
        </c:ser>
        <c:dLbls>
          <c:showLegendKey val="0"/>
          <c:showVal val="0"/>
          <c:showCatName val="0"/>
          <c:showSerName val="0"/>
          <c:showPercent val="0"/>
          <c:showBubbleSize val="0"/>
        </c:dLbls>
        <c:smooth val="0"/>
        <c:axId val="591398968"/>
        <c:axId val="591394376"/>
      </c:lineChart>
      <c:catAx>
        <c:axId val="5913989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9284373351636135"/>
              <c:y val="0.920760933279349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91394376"/>
        <c:crosses val="autoZero"/>
        <c:auto val="1"/>
        <c:lblAlgn val="ctr"/>
        <c:lblOffset val="100"/>
        <c:noMultiLvlLbl val="0"/>
      </c:catAx>
      <c:valAx>
        <c:axId val="591394376"/>
        <c:scaling>
          <c:orientation val="minMax"/>
          <c:max val="900"/>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Number of enterprises</a:t>
                </a:r>
              </a:p>
            </c:rich>
          </c:tx>
          <c:layout>
            <c:manualLayout>
              <c:xMode val="edge"/>
              <c:yMode val="edge"/>
              <c:x val="9.6852300242130755E-3"/>
              <c:y val="0.2842610329886814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91398968"/>
        <c:crosses val="autoZero"/>
        <c:crossBetween val="between"/>
        <c:majorUnit val="3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Growth Sector Briefing - Life Sciences</vt:lpstr>
    </vt:vector>
  </TitlesOfParts>
  <Company>Scottish Government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 Briefing - Life Sciences</dc:title>
  <dc:creator>Office of the Chief Economic Adviser</dc:creator>
  <cp:lastModifiedBy>Marina Curran</cp:lastModifiedBy>
  <cp:revision>88</cp:revision>
  <dcterms:created xsi:type="dcterms:W3CDTF">2020-12-02T08:34:00Z</dcterms:created>
  <dcterms:modified xsi:type="dcterms:W3CDTF">2024-03-11T10:39:00Z</dcterms:modified>
</cp:coreProperties>
</file>