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BA99" w14:textId="77777777" w:rsidR="00AE46A5" w:rsidRDefault="00E76FB8">
      <w:pPr>
        <w:pStyle w:val="Title"/>
      </w:pPr>
      <w:r>
        <w:t>Growth Sector Briefing - Creative Industries</w:t>
      </w:r>
    </w:p>
    <w:p w14:paraId="1214542E" w14:textId="77777777" w:rsidR="00AE46A5" w:rsidRDefault="00E76FB8">
      <w:pPr>
        <w:pStyle w:val="Author"/>
      </w:pPr>
      <w:r>
        <w:t>Office of the Chief Economic Adviser</w:t>
      </w:r>
    </w:p>
    <w:p w14:paraId="30EE1EF6" w14:textId="10B01218" w:rsidR="00AE46A5" w:rsidRDefault="00BA5D0E">
      <w:pPr>
        <w:pStyle w:val="Date"/>
      </w:pPr>
      <w:r>
        <w:t>14 March 2024</w:t>
      </w:r>
    </w:p>
    <w:p w14:paraId="3A268A53" w14:textId="77777777" w:rsidR="00AE46A5" w:rsidRDefault="00E76FB8">
      <w:pPr>
        <w:pStyle w:val="Heading1"/>
      </w:pPr>
      <w:bookmarkStart w:id="0" w:name="growth-sector-definition"/>
      <w:bookmarkEnd w:id="0"/>
      <w:r>
        <w:t>Growth Sector Definition</w:t>
      </w:r>
    </w:p>
    <w:p w14:paraId="73956C83" w14:textId="00DFA6CE" w:rsidR="00AE46A5" w:rsidRDefault="00E76FB8">
      <w:pPr>
        <w:pStyle w:val="FirstParagraph"/>
      </w:pPr>
      <w:r>
        <w:t>Scotland’s Creativ</w:t>
      </w:r>
      <w:r w:rsidR="0019688B">
        <w:t xml:space="preserve">e Industries were identified in Scotland’s Economic Strategy (2015) </w:t>
      </w:r>
      <w:r>
        <w:t xml:space="preserve">as one of the growth sectors in which Scotland can build on existing comparative advantage and increase productivity and growth. For more information on the details of the SIC codes used to define this Growth Sector, please see the Creative Industries SIC 2007 definition in the </w:t>
      </w:r>
      <w:hyperlink r:id="rId8">
        <w:r>
          <w:rPr>
            <w:rStyle w:val="Hyperlink"/>
          </w:rPr>
          <w:t>Growth Sector Statistics Database</w:t>
        </w:r>
      </w:hyperlink>
      <w:r>
        <w:t xml:space="preserve"> and the Growth Sector Statistics </w:t>
      </w:r>
      <w:hyperlink r:id="rId9">
        <w:r>
          <w:rPr>
            <w:rStyle w:val="Hyperlink"/>
          </w:rPr>
          <w:t>Methodology Note</w:t>
        </w:r>
      </w:hyperlink>
      <w:r>
        <w:t>.</w:t>
      </w:r>
    </w:p>
    <w:p w14:paraId="4670E00A" w14:textId="77777777" w:rsidR="00AE46A5" w:rsidRDefault="00E76FB8">
      <w:pPr>
        <w:pStyle w:val="Heading1"/>
      </w:pPr>
      <w:bookmarkStart w:id="1" w:name="key-statistics"/>
      <w:bookmarkEnd w:id="1"/>
      <w:r>
        <w:t>Key Statistics</w:t>
      </w:r>
    </w:p>
    <w:p w14:paraId="734FC29C" w14:textId="4877C038" w:rsidR="00AE46A5" w:rsidRDefault="00E76FB8">
      <w:pPr>
        <w:pStyle w:val="Heading2"/>
      </w:pPr>
      <w:bookmarkStart w:id="2" w:name="recent-trends-in-gdp-2020q1"/>
      <w:bookmarkEnd w:id="2"/>
      <w:r>
        <w:t>Recent trends in GDP (</w:t>
      </w:r>
      <w:r w:rsidR="00B54527">
        <w:t xml:space="preserve">2023 </w:t>
      </w:r>
      <w:proofErr w:type="spellStart"/>
      <w:r w:rsidR="00392F40">
        <w:t>Q</w:t>
      </w:r>
      <w:r w:rsidR="00BA5D0E">
        <w:t>4</w:t>
      </w:r>
      <w:proofErr w:type="spellEnd"/>
      <w:r>
        <w:t>)</w:t>
      </w:r>
    </w:p>
    <w:p w14:paraId="55E9D8DA" w14:textId="4B258F60" w:rsidR="00AE46A5" w:rsidRDefault="00E76FB8">
      <w:pPr>
        <w:pStyle w:val="FirstParagraph"/>
      </w:pPr>
      <w:r>
        <w:rPr>
          <w:i/>
        </w:rPr>
        <w:t xml:space="preserve">Updated </w:t>
      </w:r>
      <w:r w:rsidR="00BA5D0E">
        <w:rPr>
          <w:i/>
        </w:rPr>
        <w:t>March 2024</w:t>
      </w:r>
      <w:r>
        <w:rPr>
          <w:i/>
        </w:rPr>
        <w:t>, next update</w:t>
      </w:r>
      <w:r w:rsidR="003E4273">
        <w:rPr>
          <w:i/>
        </w:rPr>
        <w:t xml:space="preserve"> </w:t>
      </w:r>
      <w:r w:rsidR="00BA5D0E">
        <w:rPr>
          <w:i/>
        </w:rPr>
        <w:t>June</w:t>
      </w:r>
      <w:r w:rsidR="00392F40">
        <w:rPr>
          <w:i/>
        </w:rPr>
        <w:t xml:space="preserve"> 2024</w:t>
      </w:r>
    </w:p>
    <w:p w14:paraId="43F0A38B" w14:textId="41A0A918" w:rsidR="00F47296" w:rsidRDefault="00E76FB8" w:rsidP="00F47296">
      <w:pPr>
        <w:pStyle w:val="BodyText"/>
        <w:rPr>
          <w:color w:val="000000" w:themeColor="text1"/>
        </w:rPr>
      </w:pPr>
      <w:r>
        <w:t>The latest GDP data</w:t>
      </w:r>
      <w:r>
        <w:rPr>
          <w:rStyle w:val="FootnoteReference"/>
        </w:rPr>
        <w:footnoteReference w:id="1"/>
      </w:r>
      <w:r>
        <w:t xml:space="preserve"> show that output in the Creative Industries growth sector </w:t>
      </w:r>
      <w:r w:rsidR="00BA5D0E">
        <w:t>de</w:t>
      </w:r>
      <w:r w:rsidR="001A0723">
        <w:t xml:space="preserve">creased </w:t>
      </w:r>
      <w:r>
        <w:t xml:space="preserve">by </w:t>
      </w:r>
      <w:r w:rsidR="00BA5D0E">
        <w:t>0</w:t>
      </w:r>
      <w:r w:rsidR="001A0723">
        <w:t>.</w:t>
      </w:r>
      <w:r w:rsidR="006A47DF">
        <w:t>3</w:t>
      </w:r>
      <w:r w:rsidR="00CA6C36" w:rsidRPr="0078049B">
        <w:t xml:space="preserve">% </w:t>
      </w:r>
      <w:r>
        <w:t xml:space="preserve">in the most recent quarter, </w:t>
      </w:r>
      <w:r w:rsidR="00BA5D0E">
        <w:t>with</w:t>
      </w:r>
      <w:r>
        <w:t xml:space="preserve"> output across the economy as a whole </w:t>
      </w:r>
      <w:r w:rsidR="00BA5D0E">
        <w:t>decreasing</w:t>
      </w:r>
      <w:r w:rsidR="001A0723">
        <w:t xml:space="preserve"> </w:t>
      </w:r>
      <w:r w:rsidR="00397B21">
        <w:t>by 0.</w:t>
      </w:r>
      <w:r w:rsidR="00BA5D0E">
        <w:t>6</w:t>
      </w:r>
      <w:r w:rsidR="00397B21">
        <w:t>%.</w:t>
      </w:r>
      <w:r w:rsidR="00CA6C36" w:rsidRPr="0078049B">
        <w:rPr>
          <w:color w:val="000000" w:themeColor="text1"/>
        </w:rPr>
        <w:t xml:space="preserve"> </w:t>
      </w:r>
      <w:r w:rsidR="00B32127">
        <w:t>Compared with the same quarter in the previous year</w:t>
      </w:r>
      <w:r>
        <w:t xml:space="preserve">, output in this sector </w:t>
      </w:r>
      <w:r w:rsidR="00BA5D0E">
        <w:t>de</w:t>
      </w:r>
      <w:r w:rsidR="001A0723">
        <w:t xml:space="preserve">creased </w:t>
      </w:r>
      <w:r>
        <w:t xml:space="preserve">by </w:t>
      </w:r>
      <w:r w:rsidR="001A0723">
        <w:t>2</w:t>
      </w:r>
      <w:r w:rsidR="00F65037">
        <w:t>.</w:t>
      </w:r>
      <w:r w:rsidR="00BA5D0E">
        <w:t>0</w:t>
      </w:r>
      <w:r w:rsidR="00CA6C36" w:rsidRPr="0078049B">
        <w:t xml:space="preserve">%, </w:t>
      </w:r>
      <w:r w:rsidR="00BA5D0E">
        <w:t>with</w:t>
      </w:r>
      <w:r>
        <w:t xml:space="preserve"> output across the economy as a whole </w:t>
      </w:r>
      <w:r w:rsidR="00BA5D0E">
        <w:t>de</w:t>
      </w:r>
      <w:r w:rsidR="001A0723">
        <w:t>creas</w:t>
      </w:r>
      <w:r w:rsidR="00BA5D0E">
        <w:t>ing</w:t>
      </w:r>
      <w:r w:rsidR="001A0723">
        <w:t xml:space="preserve"> </w:t>
      </w:r>
      <w:r>
        <w:t xml:space="preserve">by </w:t>
      </w:r>
      <w:r w:rsidR="001F1F02">
        <w:rPr>
          <w:color w:val="000000" w:themeColor="text1"/>
        </w:rPr>
        <w:t>0.</w:t>
      </w:r>
      <w:r w:rsidR="00BA5D0E">
        <w:rPr>
          <w:color w:val="000000" w:themeColor="text1"/>
        </w:rPr>
        <w:t>3</w:t>
      </w:r>
      <w:r w:rsidR="00CA6C36" w:rsidRPr="0078049B">
        <w:rPr>
          <w:color w:val="000000" w:themeColor="text1"/>
        </w:rPr>
        <w:t>%</w:t>
      </w:r>
      <w:r w:rsidR="00782DC2">
        <w:rPr>
          <w:color w:val="000000" w:themeColor="text1"/>
        </w:rPr>
        <w:t>,</w:t>
      </w:r>
      <w:r w:rsidR="00B32127">
        <w:rPr>
          <w:color w:val="000000" w:themeColor="text1"/>
        </w:rPr>
        <w:t xml:space="preserve"> </w:t>
      </w:r>
      <w:r w:rsidR="00B32127">
        <w:t xml:space="preserve">comparing </w:t>
      </w:r>
      <w:proofErr w:type="spellStart"/>
      <w:r w:rsidR="001A0723">
        <w:t>Q</w:t>
      </w:r>
      <w:r w:rsidR="00BA5D0E">
        <w:t>4</w:t>
      </w:r>
      <w:proofErr w:type="spellEnd"/>
      <w:r w:rsidR="001A0723">
        <w:t xml:space="preserve"> </w:t>
      </w:r>
      <w:r w:rsidR="00B54527">
        <w:t xml:space="preserve">2023 </w:t>
      </w:r>
      <w:r w:rsidR="00B32127">
        <w:t xml:space="preserve">to </w:t>
      </w:r>
      <w:proofErr w:type="spellStart"/>
      <w:r w:rsidR="001A0723">
        <w:t>Q</w:t>
      </w:r>
      <w:r w:rsidR="00BA5D0E">
        <w:t>4</w:t>
      </w:r>
      <w:proofErr w:type="spellEnd"/>
      <w:r w:rsidR="001A0723">
        <w:t xml:space="preserve"> </w:t>
      </w:r>
      <w:r w:rsidR="00B54527">
        <w:t>2022</w:t>
      </w:r>
      <w:r w:rsidR="00CA6C36" w:rsidRPr="0078049B">
        <w:rPr>
          <w:color w:val="000000" w:themeColor="text1"/>
        </w:rPr>
        <w:t>.</w:t>
      </w:r>
    </w:p>
    <w:p w14:paraId="4CFD7A40" w14:textId="193EE450" w:rsidR="001A0723" w:rsidRDefault="00BA5D0E" w:rsidP="00F47296">
      <w:pPr>
        <w:pStyle w:val="BodyText"/>
        <w:rPr>
          <w:color w:val="000000" w:themeColor="text1"/>
        </w:rPr>
      </w:pPr>
      <w:r>
        <w:rPr>
          <w:noProof/>
        </w:rPr>
        <w:drawing>
          <wp:inline distT="0" distB="0" distL="0" distR="0" wp14:anchorId="1CC9A01D" wp14:editId="003FE989">
            <wp:extent cx="5943600" cy="3133725"/>
            <wp:effectExtent l="0" t="0" r="0" b="0"/>
            <wp:docPr id="988376890" name="Chart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2DCC4C" w14:textId="6A3FDFAE" w:rsidR="00B92F6E" w:rsidRDefault="00B92F6E" w:rsidP="00B92F6E">
      <w:pPr>
        <w:pStyle w:val="BodyText"/>
      </w:pPr>
      <w:bookmarkStart w:id="3" w:name="employment-2018"/>
      <w:bookmarkEnd w:id="3"/>
    </w:p>
    <w:p w14:paraId="745968AF" w14:textId="41ABC99B" w:rsidR="00AE46A5" w:rsidRDefault="003C7C76">
      <w:pPr>
        <w:pStyle w:val="Heading2"/>
      </w:pPr>
      <w:r>
        <w:t>Employment (</w:t>
      </w:r>
      <w:r w:rsidR="00875A24">
        <w:t>2022</w:t>
      </w:r>
      <w:r w:rsidR="00E76FB8">
        <w:t>)</w:t>
      </w:r>
    </w:p>
    <w:p w14:paraId="2511E7C7" w14:textId="2F6803AB" w:rsidR="00AE46A5" w:rsidRDefault="00E76FB8">
      <w:pPr>
        <w:pStyle w:val="FirstParagraph"/>
      </w:pPr>
      <w:r>
        <w:rPr>
          <w:i/>
        </w:rPr>
        <w:t>Update</w:t>
      </w:r>
      <w:r w:rsidR="005C27E4">
        <w:rPr>
          <w:i/>
        </w:rPr>
        <w:t xml:space="preserve">d </w:t>
      </w:r>
      <w:r w:rsidR="00875A24">
        <w:rPr>
          <w:i/>
        </w:rPr>
        <w:t>November 2023</w:t>
      </w:r>
      <w:r w:rsidR="005C27E4">
        <w:rPr>
          <w:i/>
        </w:rPr>
        <w:t xml:space="preserve">, next update </w:t>
      </w:r>
      <w:r w:rsidR="00397B21">
        <w:rPr>
          <w:i/>
        </w:rPr>
        <w:t xml:space="preserve">November </w:t>
      </w:r>
      <w:r w:rsidR="00875A24">
        <w:rPr>
          <w:i/>
        </w:rPr>
        <w:t>2024</w:t>
      </w:r>
    </w:p>
    <w:p w14:paraId="23FA8717" w14:textId="2C5969BE" w:rsidR="00F15050" w:rsidRDefault="00E76FB8">
      <w:pPr>
        <w:pStyle w:val="BodyText"/>
      </w:pPr>
      <w:r>
        <w:t xml:space="preserve">Employment in the Creative Industries growth sector stood at </w:t>
      </w:r>
      <w:r w:rsidR="00875A24">
        <w:t>88</w:t>
      </w:r>
      <w:r w:rsidR="003C7C76">
        <w:t xml:space="preserve">,000 in </w:t>
      </w:r>
      <w:r w:rsidR="00875A24">
        <w:t>2022</w:t>
      </w:r>
      <w:r>
        <w:t>, accounting for 3.</w:t>
      </w:r>
      <w:r w:rsidR="00875A24">
        <w:t>4</w:t>
      </w:r>
      <w:r>
        <w:t>% o</w:t>
      </w:r>
      <w:r w:rsidR="003C7C76">
        <w:t>f employment in Scotland and 5.</w:t>
      </w:r>
      <w:r w:rsidR="00875A24">
        <w:t>4</w:t>
      </w:r>
      <w:r>
        <w:t>% of employment in Creative Industries across Great Brita</w:t>
      </w:r>
      <w:r w:rsidR="003C7C76">
        <w:t xml:space="preserve">in. Employment in this sector </w:t>
      </w:r>
      <w:r w:rsidR="00875A24">
        <w:t xml:space="preserve">increased </w:t>
      </w:r>
      <w:r>
        <w:t xml:space="preserve">by </w:t>
      </w:r>
      <w:r w:rsidR="00397B21">
        <w:t>1</w:t>
      </w:r>
      <w:r w:rsidR="00875A24">
        <w:t>1.4</w:t>
      </w:r>
      <w:r>
        <w:t>% over the latest year in Scotland.</w:t>
      </w:r>
    </w:p>
    <w:p w14:paraId="794F550E" w14:textId="7D3A5EE8" w:rsidR="00AE46A5" w:rsidRDefault="003C7C76">
      <w:pPr>
        <w:pStyle w:val="Heading2"/>
      </w:pPr>
      <w:bookmarkStart w:id="4" w:name="employment-across-scotland-2018"/>
      <w:bookmarkEnd w:id="4"/>
      <w:r>
        <w:t>Employment across Scotland (</w:t>
      </w:r>
      <w:r w:rsidR="00875A24">
        <w:t>2022</w:t>
      </w:r>
      <w:r w:rsidR="00E76FB8">
        <w:t>)</w:t>
      </w:r>
    </w:p>
    <w:p w14:paraId="752633EB" w14:textId="52DBC744" w:rsidR="003C7C76" w:rsidRDefault="003C7C76" w:rsidP="003C7C76">
      <w:pPr>
        <w:pStyle w:val="FirstParagraph"/>
      </w:pPr>
      <w:r>
        <w:rPr>
          <w:i/>
        </w:rPr>
        <w:t xml:space="preserve">Updated </w:t>
      </w:r>
      <w:r w:rsidR="00875A24">
        <w:rPr>
          <w:i/>
        </w:rPr>
        <w:t>November 2023</w:t>
      </w:r>
      <w:r>
        <w:rPr>
          <w:i/>
        </w:rPr>
        <w:t xml:space="preserve">, next update </w:t>
      </w:r>
      <w:r w:rsidR="00397B21">
        <w:rPr>
          <w:i/>
        </w:rPr>
        <w:t xml:space="preserve">November </w:t>
      </w:r>
      <w:r w:rsidR="00875A24">
        <w:rPr>
          <w:i/>
        </w:rPr>
        <w:t>2024</w:t>
      </w:r>
    </w:p>
    <w:p w14:paraId="4305C151" w14:textId="39A6CF16" w:rsidR="002439D4" w:rsidRDefault="00E76FB8">
      <w:pPr>
        <w:pStyle w:val="BodyText"/>
      </w:pPr>
      <w:r>
        <w:t>I</w:t>
      </w:r>
      <w:r w:rsidR="003C7C76">
        <w:t xml:space="preserve">n </w:t>
      </w:r>
      <w:r w:rsidR="00EF2962">
        <w:t>2022</w:t>
      </w:r>
      <w:r>
        <w:t>, employment in the Creative Industries growth sector</w:t>
      </w:r>
      <w:r w:rsidR="003C7C76">
        <w:t xml:space="preserve"> was highest in Glasgow City (</w:t>
      </w:r>
      <w:r w:rsidR="00397B21">
        <w:t>2</w:t>
      </w:r>
      <w:r w:rsidR="00EF2962">
        <w:t>5,060</w:t>
      </w:r>
      <w:r>
        <w:t>) and City of Edinburgh (</w:t>
      </w:r>
      <w:r w:rsidR="00EF2962">
        <w:t>21,065</w:t>
      </w:r>
      <w:r>
        <w:t xml:space="preserve">), which comprised </w:t>
      </w:r>
      <w:r w:rsidR="003C7C76">
        <w:t>2</w:t>
      </w:r>
      <w:r w:rsidR="00EF2962">
        <w:t>8.5</w:t>
      </w:r>
      <w:r>
        <w:t xml:space="preserve">% and </w:t>
      </w:r>
      <w:r w:rsidR="00EF2962">
        <w:t>23</w:t>
      </w:r>
      <w:r w:rsidR="003C7C76">
        <w:t>.9</w:t>
      </w:r>
      <w:r>
        <w:t>% of employment in this sector respectively.</w:t>
      </w:r>
    </w:p>
    <w:p w14:paraId="0592B8EC" w14:textId="77005010" w:rsidR="00AE46A5" w:rsidRDefault="00E76FB8">
      <w:pPr>
        <w:pStyle w:val="Heading2"/>
      </w:pPr>
      <w:bookmarkStart w:id="5" w:name="exports2-2018"/>
      <w:bookmarkEnd w:id="5"/>
      <w:r>
        <w:t>Exports</w:t>
      </w:r>
      <w:r>
        <w:rPr>
          <w:rStyle w:val="FootnoteReference"/>
        </w:rPr>
        <w:footnoteReference w:id="2"/>
      </w:r>
      <w:r>
        <w:t xml:space="preserve"> (20</w:t>
      </w:r>
      <w:r w:rsidR="00BA5D0E">
        <w:t>21</w:t>
      </w:r>
      <w:r>
        <w:t>)</w:t>
      </w:r>
    </w:p>
    <w:p w14:paraId="68CCF161" w14:textId="6C5D64B5" w:rsidR="00AE46A5" w:rsidRDefault="00E76FB8">
      <w:pPr>
        <w:pStyle w:val="BodyText"/>
      </w:pPr>
      <w:r>
        <w:rPr>
          <w:i/>
        </w:rPr>
        <w:t xml:space="preserve">Updated </w:t>
      </w:r>
      <w:r w:rsidR="00BA5D0E">
        <w:rPr>
          <w:i/>
        </w:rPr>
        <w:t>March 2024</w:t>
      </w:r>
      <w:r w:rsidR="002439D4">
        <w:rPr>
          <w:i/>
        </w:rPr>
        <w:t>, next update tbc</w:t>
      </w:r>
    </w:p>
    <w:p w14:paraId="6C08FDA8" w14:textId="3ABC4517" w:rsidR="00676444" w:rsidRDefault="00676444" w:rsidP="00676444">
      <w:r>
        <w:t>Total exports from the Creative Industries growth sector stood at £</w:t>
      </w:r>
      <w:r w:rsidR="00BA5D0E">
        <w:t>3</w:t>
      </w:r>
      <w:r>
        <w:t>.</w:t>
      </w:r>
      <w:r w:rsidR="00BA5D0E">
        <w:t>8</w:t>
      </w:r>
      <w:r>
        <w:t xml:space="preserve"> billion in 20</w:t>
      </w:r>
      <w:r w:rsidR="00BA5D0E">
        <w:t>21</w:t>
      </w:r>
      <w:r>
        <w:t xml:space="preserve">, accounting for 4.7% of Scotland’s total exports. Exports from this sector increased by </w:t>
      </w:r>
      <w:r w:rsidR="00BA5D0E">
        <w:t>14</w:t>
      </w:r>
      <w:r>
        <w:t>.</w:t>
      </w:r>
      <w:r w:rsidR="00BA5D0E">
        <w:t>2</w:t>
      </w:r>
      <w:r>
        <w:t>% over the year.</w:t>
      </w:r>
    </w:p>
    <w:p w14:paraId="11EEB6C5" w14:textId="7ED448EA" w:rsidR="00676444" w:rsidRDefault="00676444">
      <w:pPr>
        <w:pStyle w:val="BodyText"/>
      </w:pPr>
      <w:r>
        <w:t>Exports to the rest of the UK stood at £2.</w:t>
      </w:r>
      <w:r w:rsidR="00BA5D0E">
        <w:t>0</w:t>
      </w:r>
      <w:r>
        <w:t xml:space="preserve"> billion in 20</w:t>
      </w:r>
      <w:r w:rsidR="00BA5D0E">
        <w:t>21</w:t>
      </w:r>
      <w:r>
        <w:t xml:space="preserve"> and accounted for 5</w:t>
      </w:r>
      <w:r w:rsidR="00BA5D0E">
        <w:t>3</w:t>
      </w:r>
      <w:r>
        <w:t>.</w:t>
      </w:r>
      <w:r w:rsidR="00BA5D0E">
        <w:t>8</w:t>
      </w:r>
      <w:r>
        <w:t>% of total Creative Industries exports. International exports to the EU stood at £</w:t>
      </w:r>
      <w:r w:rsidR="00BA5D0E">
        <w:t>680</w:t>
      </w:r>
      <w:r>
        <w:t xml:space="preserve"> million (1</w:t>
      </w:r>
      <w:r w:rsidR="00BA5D0E">
        <w:t>8</w:t>
      </w:r>
      <w:r>
        <w:t>.</w:t>
      </w:r>
      <w:r w:rsidR="00BA5D0E">
        <w:t>0</w:t>
      </w:r>
      <w:r>
        <w:t>%) and international exports to non-EU countries stood at £1.</w:t>
      </w:r>
      <w:r w:rsidR="00BA5D0E">
        <w:t>1</w:t>
      </w:r>
      <w:r>
        <w:t xml:space="preserve"> billion (28.</w:t>
      </w:r>
      <w:r w:rsidR="00BA5D0E">
        <w:t>3</w:t>
      </w:r>
      <w:r>
        <w:t>%).</w:t>
      </w:r>
    </w:p>
    <w:p w14:paraId="50073B00" w14:textId="02775839" w:rsidR="00AE46A5" w:rsidRDefault="00E76FB8">
      <w:pPr>
        <w:pStyle w:val="Heading2"/>
      </w:pPr>
      <w:bookmarkStart w:id="6" w:name="turnovergross-value-added-2018"/>
      <w:bookmarkEnd w:id="6"/>
      <w:r>
        <w:t>Turnover/Gross Value Added (</w:t>
      </w:r>
      <w:r w:rsidR="000416BE">
        <w:t>202</w:t>
      </w:r>
      <w:r w:rsidR="00730C38">
        <w:t>1</w:t>
      </w:r>
      <w:r>
        <w:t>)</w:t>
      </w:r>
    </w:p>
    <w:p w14:paraId="406F5D85" w14:textId="721B9EAD" w:rsidR="00AE46A5" w:rsidRDefault="00E76FB8">
      <w:pPr>
        <w:pStyle w:val="FirstParagraph"/>
      </w:pPr>
      <w:r>
        <w:rPr>
          <w:i/>
        </w:rPr>
        <w:t xml:space="preserve">Updated </w:t>
      </w:r>
      <w:r w:rsidR="000416BE">
        <w:rPr>
          <w:i/>
        </w:rPr>
        <w:t>August 202</w:t>
      </w:r>
      <w:r w:rsidR="009F674F">
        <w:rPr>
          <w:i/>
        </w:rPr>
        <w:t>3</w:t>
      </w:r>
      <w:r w:rsidR="002439D4">
        <w:rPr>
          <w:i/>
        </w:rPr>
        <w:t xml:space="preserve">, next update </w:t>
      </w:r>
      <w:r w:rsidR="009311C5">
        <w:rPr>
          <w:i/>
        </w:rPr>
        <w:t>August</w:t>
      </w:r>
      <w:r w:rsidR="00D95B95">
        <w:rPr>
          <w:i/>
        </w:rPr>
        <w:t xml:space="preserve"> </w:t>
      </w:r>
      <w:r w:rsidR="000416BE">
        <w:rPr>
          <w:i/>
        </w:rPr>
        <w:t>202</w:t>
      </w:r>
      <w:r w:rsidR="009F674F">
        <w:rPr>
          <w:i/>
        </w:rPr>
        <w:t>4</w:t>
      </w:r>
    </w:p>
    <w:p w14:paraId="0B638E16" w14:textId="0F373770" w:rsidR="00AE46A5" w:rsidRDefault="00E76FB8">
      <w:pPr>
        <w:pStyle w:val="BodyText"/>
      </w:pPr>
      <w:r>
        <w:t xml:space="preserve">In </w:t>
      </w:r>
      <w:r w:rsidR="009F674F">
        <w:t>2021</w:t>
      </w:r>
      <w:r>
        <w:t>, total turnover in the Creative Industries growth sector was £</w:t>
      </w:r>
      <w:r w:rsidR="00430A6B" w:rsidRPr="00430A6B">
        <w:t>8,969.8</w:t>
      </w:r>
      <w:r w:rsidR="00F46460">
        <w:t xml:space="preserve"> </w:t>
      </w:r>
      <w:r>
        <w:t xml:space="preserve">million. Between </w:t>
      </w:r>
      <w:r w:rsidR="009F674F">
        <w:t xml:space="preserve">2020 </w:t>
      </w:r>
      <w:r>
        <w:t xml:space="preserve">and </w:t>
      </w:r>
      <w:r w:rsidR="009F674F">
        <w:t>2021</w:t>
      </w:r>
      <w:r>
        <w:t xml:space="preserve">, total turnover in this growth sector </w:t>
      </w:r>
      <w:r w:rsidR="00430A6B">
        <w:t>in</w:t>
      </w:r>
      <w:r w:rsidR="000416BE">
        <w:t xml:space="preserve">creased </w:t>
      </w:r>
      <w:r>
        <w:t xml:space="preserve">by </w:t>
      </w:r>
      <w:r w:rsidR="00430A6B">
        <w:t>12.9</w:t>
      </w:r>
      <w:r>
        <w:t>% in nominal terms.</w:t>
      </w:r>
    </w:p>
    <w:p w14:paraId="1677842F" w14:textId="0CA267F0" w:rsidR="00642581" w:rsidRDefault="00E76FB8">
      <w:pPr>
        <w:pStyle w:val="BodyText"/>
      </w:pPr>
      <w:r>
        <w:t xml:space="preserve">Gross Value Added for the Creative Industries growth sector </w:t>
      </w:r>
      <w:r w:rsidR="00642581">
        <w:t xml:space="preserve">was estimated at </w:t>
      </w:r>
      <w:r>
        <w:t>£</w:t>
      </w:r>
      <w:r w:rsidR="00430A6B" w:rsidRPr="00430A6B">
        <w:t>4</w:t>
      </w:r>
      <w:r w:rsidR="001C3C1C">
        <w:t>,</w:t>
      </w:r>
      <w:r w:rsidR="00430A6B" w:rsidRPr="00430A6B">
        <w:t>440.2</w:t>
      </w:r>
      <w:r w:rsidR="00F46460">
        <w:t xml:space="preserve"> </w:t>
      </w:r>
      <w:r>
        <w:t xml:space="preserve">million in </w:t>
      </w:r>
      <w:r w:rsidR="009F674F">
        <w:t>2021</w:t>
      </w:r>
      <w:r w:rsidR="00642581">
        <w:t>,</w:t>
      </w:r>
      <w:r w:rsidR="000416BE">
        <w:t xml:space="preserve"> </w:t>
      </w:r>
      <w:r>
        <w:t xml:space="preserve">an </w:t>
      </w:r>
      <w:r w:rsidR="000416BE">
        <w:t>increase</w:t>
      </w:r>
      <w:r w:rsidR="00642581">
        <w:t xml:space="preserve"> of </w:t>
      </w:r>
      <w:r w:rsidR="00430A6B">
        <w:t>1.7</w:t>
      </w:r>
      <w:r>
        <w:t xml:space="preserve">% </w:t>
      </w:r>
      <w:r w:rsidR="00642581">
        <w:t xml:space="preserve">compared to </w:t>
      </w:r>
      <w:r w:rsidR="009F674F">
        <w:t xml:space="preserve">2020 </w:t>
      </w:r>
      <w:r w:rsidR="00642581">
        <w:t>(£</w:t>
      </w:r>
      <w:r w:rsidR="00430A6B" w:rsidRPr="00430A6B">
        <w:t>4</w:t>
      </w:r>
      <w:r w:rsidR="001C3C1C">
        <w:t>,</w:t>
      </w:r>
      <w:r w:rsidR="00430A6B" w:rsidRPr="00430A6B">
        <w:t>366.4</w:t>
      </w:r>
      <w:r w:rsidR="00F46460">
        <w:t xml:space="preserve"> </w:t>
      </w:r>
      <w:r w:rsidR="00642581">
        <w:t>million).</w:t>
      </w:r>
    </w:p>
    <w:p w14:paraId="34BD17C4" w14:textId="68278EE5" w:rsidR="00AE46A5" w:rsidRDefault="00E76FB8">
      <w:pPr>
        <w:pStyle w:val="Heading2"/>
      </w:pPr>
      <w:bookmarkStart w:id="7" w:name="enterprises-20193"/>
      <w:bookmarkEnd w:id="7"/>
      <w:r>
        <w:t>Enterprises (</w:t>
      </w:r>
      <w:r w:rsidR="009F49AA">
        <w:t>202</w:t>
      </w:r>
      <w:r w:rsidR="003A5303">
        <w:t>3</w:t>
      </w:r>
      <w:r>
        <w:t>)</w:t>
      </w:r>
      <w:r>
        <w:rPr>
          <w:rStyle w:val="FootnoteReference"/>
        </w:rPr>
        <w:footnoteReference w:id="3"/>
      </w:r>
    </w:p>
    <w:p w14:paraId="55457911" w14:textId="0029E0B2" w:rsidR="00AE46A5" w:rsidRPr="005F66E6" w:rsidRDefault="00E76FB8" w:rsidP="005F66E6">
      <w:pPr>
        <w:pStyle w:val="FirstParagraph"/>
        <w:rPr>
          <w:i/>
        </w:rPr>
      </w:pPr>
      <w:r>
        <w:rPr>
          <w:i/>
        </w:rPr>
        <w:t>Update</w:t>
      </w:r>
      <w:r w:rsidR="005C27E4">
        <w:rPr>
          <w:i/>
        </w:rPr>
        <w:t xml:space="preserve">d </w:t>
      </w:r>
      <w:r w:rsidR="00E041F0">
        <w:rPr>
          <w:i/>
        </w:rPr>
        <w:t xml:space="preserve">December </w:t>
      </w:r>
      <w:r w:rsidR="00C53E98">
        <w:rPr>
          <w:i/>
        </w:rPr>
        <w:t>2023</w:t>
      </w:r>
      <w:r w:rsidR="00DE45D8">
        <w:rPr>
          <w:i/>
        </w:rPr>
        <w:t xml:space="preserve">, next update </w:t>
      </w:r>
      <w:r w:rsidR="00C53E98">
        <w:rPr>
          <w:i/>
        </w:rPr>
        <w:t>December</w:t>
      </w:r>
      <w:r w:rsidR="00C53E98" w:rsidRPr="004E6A8D">
        <w:rPr>
          <w:i/>
        </w:rPr>
        <w:t xml:space="preserve"> </w:t>
      </w:r>
      <w:r w:rsidR="00E041F0" w:rsidRPr="004E6A8D">
        <w:rPr>
          <w:i/>
        </w:rPr>
        <w:t>202</w:t>
      </w:r>
      <w:r w:rsidR="00E041F0">
        <w:rPr>
          <w:i/>
        </w:rPr>
        <w:t>4</w:t>
      </w:r>
    </w:p>
    <w:p w14:paraId="3FF1FFDF" w14:textId="679969C4" w:rsidR="00AE46A5" w:rsidRDefault="00E76FB8">
      <w:pPr>
        <w:pStyle w:val="BodyText"/>
      </w:pPr>
      <w:r>
        <w:t xml:space="preserve">In </w:t>
      </w:r>
      <w:r w:rsidR="00CE6D72">
        <w:t>March</w:t>
      </w:r>
      <w:r w:rsidR="00EB04E7">
        <w:t xml:space="preserve"> </w:t>
      </w:r>
      <w:r w:rsidR="00E041F0">
        <w:t>2023</w:t>
      </w:r>
      <w:r>
        <w:t xml:space="preserve">, there were </w:t>
      </w:r>
      <w:r w:rsidR="00C53E98" w:rsidRPr="00C53E98">
        <w:t>13</w:t>
      </w:r>
      <w:r w:rsidR="00C53E98">
        <w:t>,</w:t>
      </w:r>
      <w:r w:rsidR="00E041F0">
        <w:t xml:space="preserve">030 </w:t>
      </w:r>
      <w:r>
        <w:t>registered enterprises operating in the Creative Industries growth sector</w:t>
      </w:r>
      <w:r w:rsidR="00372B76">
        <w:t>,</w:t>
      </w:r>
      <w:r>
        <w:t xml:space="preserve"> representing </w:t>
      </w:r>
      <w:r w:rsidR="00C53E98">
        <w:t>7.</w:t>
      </w:r>
      <w:r w:rsidR="00E041F0">
        <w:t>5</w:t>
      </w:r>
      <w:r>
        <w:t xml:space="preserve">% of all registered business in Scotland. In </w:t>
      </w:r>
      <w:r w:rsidR="00E041F0">
        <w:lastRenderedPageBreak/>
        <w:t>2023</w:t>
      </w:r>
      <w:r>
        <w:t xml:space="preserve">, </w:t>
      </w:r>
      <w:r w:rsidRPr="00D97407">
        <w:t>97.</w:t>
      </w:r>
      <w:r w:rsidR="00E7729A">
        <w:t>3</w:t>
      </w:r>
      <w:r w:rsidRPr="00D97407">
        <w:t>%</w:t>
      </w:r>
      <w:r>
        <w:t xml:space="preserve"> of Scottish Creative Industries registered enterprises were small (0-49 employees), accounting for </w:t>
      </w:r>
      <w:r w:rsidR="00C53E98" w:rsidRPr="00C53E98">
        <w:t>51</w:t>
      </w:r>
      <w:r w:rsidR="00EB04E7" w:rsidRPr="00C53E98">
        <w:t>.</w:t>
      </w:r>
      <w:r w:rsidR="00E26A4A">
        <w:t>0</w:t>
      </w:r>
      <w:r w:rsidRPr="00C53E98">
        <w:t>%</w:t>
      </w:r>
      <w:r>
        <w:t xml:space="preserve"> of employment in this sector, whilst large enterprises (250+ employees) accounted for 0.</w:t>
      </w:r>
      <w:r w:rsidR="00E7729A">
        <w:t>9</w:t>
      </w:r>
      <w:r>
        <w:t xml:space="preserve">% of registered enterprises but </w:t>
      </w:r>
      <w:r w:rsidR="00E26A4A">
        <w:t>29.9</w:t>
      </w:r>
      <w:r w:rsidRPr="00C53E98">
        <w:t>%</w:t>
      </w:r>
      <w:r>
        <w:t xml:space="preserve"> of employment.</w:t>
      </w:r>
    </w:p>
    <w:p w14:paraId="41F1EED2" w14:textId="4809BA54" w:rsidR="00C40A7A" w:rsidRDefault="00E26A4A">
      <w:pPr>
        <w:pStyle w:val="BodyText"/>
      </w:pPr>
      <w:r>
        <w:rPr>
          <w:noProof/>
        </w:rPr>
        <w:drawing>
          <wp:inline distT="0" distB="0" distL="0" distR="0" wp14:anchorId="096E8687" wp14:editId="476C0AD2">
            <wp:extent cx="6139462" cy="3228975"/>
            <wp:effectExtent l="0" t="0" r="0" b="0"/>
            <wp:docPr id="1092867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7425" cy="3233163"/>
                    </a:xfrm>
                    <a:prstGeom prst="rect">
                      <a:avLst/>
                    </a:prstGeom>
                    <a:noFill/>
                  </pic:spPr>
                </pic:pic>
              </a:graphicData>
            </a:graphic>
          </wp:inline>
        </w:drawing>
      </w:r>
    </w:p>
    <w:p w14:paraId="7963BBD6" w14:textId="61FCFE68" w:rsidR="00C53E98" w:rsidRDefault="00E76FB8">
      <w:pPr>
        <w:pStyle w:val="BodyText"/>
      </w:pPr>
      <w:r>
        <w:t>The majority of enterprises in the Creative Industries sector were UK owned with their registered office address in Scotland (</w:t>
      </w:r>
      <w:r w:rsidR="00E26A4A">
        <w:t>96.7</w:t>
      </w:r>
      <w:r>
        <w:t xml:space="preserve">%), accounting for </w:t>
      </w:r>
      <w:r w:rsidR="005F66E6" w:rsidRPr="00C53E98">
        <w:t>6</w:t>
      </w:r>
      <w:r w:rsidR="00C53E98" w:rsidRPr="00C53E98">
        <w:t>6.</w:t>
      </w:r>
      <w:r w:rsidR="00E26A4A">
        <w:t>1</w:t>
      </w:r>
      <w:r w:rsidRPr="00C53E98">
        <w:t xml:space="preserve">% </w:t>
      </w:r>
      <w:r>
        <w:t xml:space="preserve">of sector employment in </w:t>
      </w:r>
      <w:r w:rsidR="00E041F0">
        <w:t>2023</w:t>
      </w:r>
      <w:r>
        <w:t>. 1.</w:t>
      </w:r>
      <w:r w:rsidR="00E26A4A">
        <w:t>9</w:t>
      </w:r>
      <w:r>
        <w:t xml:space="preserve">% of businesses were registered abroad, but they accounted </w:t>
      </w:r>
      <w:r w:rsidRPr="00C53E98">
        <w:t xml:space="preserve">for </w:t>
      </w:r>
      <w:r w:rsidR="00C53E98" w:rsidRPr="00C53E98">
        <w:t>27.1</w:t>
      </w:r>
      <w:r w:rsidRPr="00C53E98">
        <w:t xml:space="preserve">% </w:t>
      </w:r>
      <w:r>
        <w:t>of employment in this sector.</w:t>
      </w:r>
    </w:p>
    <w:p w14:paraId="022A00E0" w14:textId="2B7F6094" w:rsidR="00AE46A5" w:rsidRDefault="00624048" w:rsidP="00D752E6">
      <w:pPr>
        <w:pStyle w:val="Heading2"/>
      </w:pPr>
      <w:bookmarkStart w:id="8" w:name="earnings-2018"/>
      <w:bookmarkEnd w:id="8"/>
      <w:r>
        <w:t>Earnings (</w:t>
      </w:r>
      <w:r w:rsidR="001A0723">
        <w:t>2023</w:t>
      </w:r>
      <w:r w:rsidR="00E76FB8">
        <w:t>)</w:t>
      </w:r>
    </w:p>
    <w:p w14:paraId="207035DE" w14:textId="21F08737" w:rsidR="00AE46A5" w:rsidRDefault="001A0723">
      <w:pPr>
        <w:pStyle w:val="FirstParagraph"/>
      </w:pPr>
      <w:r>
        <w:rPr>
          <w:i/>
        </w:rPr>
        <w:t xml:space="preserve">December </w:t>
      </w:r>
      <w:r w:rsidR="00C53E98">
        <w:rPr>
          <w:i/>
        </w:rPr>
        <w:t>2023</w:t>
      </w:r>
      <w:r w:rsidR="005C27E4">
        <w:rPr>
          <w:i/>
        </w:rPr>
        <w:t xml:space="preserve">, next update </w:t>
      </w:r>
      <w:r>
        <w:rPr>
          <w:i/>
        </w:rPr>
        <w:t xml:space="preserve">December </w:t>
      </w:r>
      <w:r w:rsidR="00C53E98">
        <w:rPr>
          <w:i/>
        </w:rPr>
        <w:t>2024</w:t>
      </w:r>
    </w:p>
    <w:p w14:paraId="2FCA03D7" w14:textId="5927B9D9" w:rsidR="000665C1" w:rsidRDefault="00E76FB8">
      <w:pPr>
        <w:pStyle w:val="BodyText"/>
      </w:pPr>
      <w:r>
        <w:t>Median weekly full time earnings across the Scottish Creative Industries g</w:t>
      </w:r>
      <w:r w:rsidR="005C27E4">
        <w:t>rowt</w:t>
      </w:r>
      <w:r w:rsidR="003C7C76">
        <w:t>h sector stood at £</w:t>
      </w:r>
      <w:r w:rsidR="001A0723">
        <w:t>689.9</w:t>
      </w:r>
      <w:r w:rsidR="00C53E98">
        <w:t xml:space="preserve"> </w:t>
      </w:r>
      <w:r w:rsidR="003C7C76">
        <w:t xml:space="preserve">in </w:t>
      </w:r>
      <w:r w:rsidR="001A0723">
        <w:t>2023</w:t>
      </w:r>
      <w:r>
        <w:t>, which was</w:t>
      </w:r>
      <w:r w:rsidR="00C53E98">
        <w:t xml:space="preserve"> lower</w:t>
      </w:r>
      <w:r>
        <w:t xml:space="preserve"> tha</w:t>
      </w:r>
      <w:r w:rsidR="003C7C76">
        <w:t>n the Scottish average at £</w:t>
      </w:r>
      <w:r w:rsidR="001A0723">
        <w:t>702.8</w:t>
      </w:r>
      <w:r w:rsidR="003C7C76">
        <w:t xml:space="preserve">. </w:t>
      </w:r>
    </w:p>
    <w:p w14:paraId="62A7B3C9" w14:textId="7A8D99B1" w:rsidR="00AE46A5" w:rsidRDefault="00E76FB8">
      <w:pPr>
        <w:pStyle w:val="Heading2"/>
      </w:pPr>
      <w:bookmarkStart w:id="9" w:name="research-and-development-2017"/>
      <w:bookmarkStart w:id="10" w:name="business-demography-2018"/>
      <w:bookmarkEnd w:id="9"/>
      <w:bookmarkEnd w:id="10"/>
      <w:r>
        <w:t>Business Demography (</w:t>
      </w:r>
      <w:r w:rsidR="00D752E6">
        <w:t>202</w:t>
      </w:r>
      <w:r w:rsidR="00BA5D0E">
        <w:t>2</w:t>
      </w:r>
      <w:r>
        <w:t>)</w:t>
      </w:r>
    </w:p>
    <w:p w14:paraId="56A908EC" w14:textId="69C6B677" w:rsidR="00AE46A5" w:rsidRDefault="00E76FB8">
      <w:pPr>
        <w:pStyle w:val="FirstParagraph"/>
      </w:pPr>
      <w:r>
        <w:rPr>
          <w:i/>
        </w:rPr>
        <w:t xml:space="preserve">Updated </w:t>
      </w:r>
      <w:r w:rsidR="000665C1">
        <w:rPr>
          <w:i/>
        </w:rPr>
        <w:t xml:space="preserve">March </w:t>
      </w:r>
      <w:r w:rsidR="00D752E6">
        <w:rPr>
          <w:i/>
        </w:rPr>
        <w:t>202</w:t>
      </w:r>
      <w:r w:rsidR="00BA5D0E">
        <w:rPr>
          <w:i/>
        </w:rPr>
        <w:t>4</w:t>
      </w:r>
      <w:r>
        <w:rPr>
          <w:i/>
        </w:rPr>
        <w:t xml:space="preserve">, next update </w:t>
      </w:r>
      <w:r w:rsidR="00620565">
        <w:rPr>
          <w:i/>
        </w:rPr>
        <w:t xml:space="preserve">March </w:t>
      </w:r>
      <w:r w:rsidR="00D752E6">
        <w:rPr>
          <w:i/>
        </w:rPr>
        <w:t>202</w:t>
      </w:r>
      <w:r w:rsidR="00BA5D0E">
        <w:rPr>
          <w:i/>
        </w:rPr>
        <w:t>5</w:t>
      </w:r>
    </w:p>
    <w:p w14:paraId="2DC83CF2" w14:textId="15E54307" w:rsidR="00AE46A5" w:rsidRDefault="00E76FB8">
      <w:pPr>
        <w:pStyle w:val="BodyText"/>
      </w:pPr>
      <w:r>
        <w:t xml:space="preserve">The number of registered business births (VAT/PAYE registrations) in the Creative Industries growth sector in Scotland </w:t>
      </w:r>
      <w:r w:rsidR="00D752E6">
        <w:t xml:space="preserve">increased </w:t>
      </w:r>
      <w:r>
        <w:t xml:space="preserve">by </w:t>
      </w:r>
      <w:r w:rsidR="00BA5D0E">
        <w:t>2</w:t>
      </w:r>
      <w:r w:rsidR="00D752E6">
        <w:t>.</w:t>
      </w:r>
      <w:r w:rsidR="00BA5D0E">
        <w:t>8</w:t>
      </w:r>
      <w:r>
        <w:t>%, from 1,</w:t>
      </w:r>
      <w:r w:rsidR="00D752E6">
        <w:t xml:space="preserve">405 </w:t>
      </w:r>
      <w:r>
        <w:t xml:space="preserve">in </w:t>
      </w:r>
      <w:r w:rsidR="00D752E6">
        <w:t>2021</w:t>
      </w:r>
      <w:r w:rsidR="00BA5D0E">
        <w:t xml:space="preserve"> to 1,445 in 2022</w:t>
      </w:r>
      <w:r>
        <w:t xml:space="preserve">. The business birth rate, which is the number of births as a percentage of active businesses, was </w:t>
      </w:r>
      <w:r w:rsidR="00BA5D0E">
        <w:t>9</w:t>
      </w:r>
      <w:r w:rsidR="00D752E6">
        <w:t>.8</w:t>
      </w:r>
      <w:r w:rsidRPr="008E5333">
        <w:t>%.</w:t>
      </w:r>
      <w:r>
        <w:t xml:space="preserve"> In comparison, business births in Cr</w:t>
      </w:r>
      <w:r w:rsidR="00615AC3">
        <w:t>eative Industries across the UK</w:t>
      </w:r>
      <w:r>
        <w:t xml:space="preserve"> </w:t>
      </w:r>
      <w:r w:rsidR="00BA5D0E">
        <w:t>de</w:t>
      </w:r>
      <w:r w:rsidR="00D752E6">
        <w:t xml:space="preserve">creased </w:t>
      </w:r>
      <w:r>
        <w:t xml:space="preserve">by </w:t>
      </w:r>
      <w:r w:rsidR="00D752E6">
        <w:t>0.</w:t>
      </w:r>
      <w:r w:rsidR="00BA5D0E">
        <w:t>7</w:t>
      </w:r>
      <w:r>
        <w:t xml:space="preserve">% between </w:t>
      </w:r>
      <w:r w:rsidR="00D752E6">
        <w:t>202</w:t>
      </w:r>
      <w:r w:rsidR="00BA5D0E">
        <w:t>1</w:t>
      </w:r>
      <w:r w:rsidR="00D752E6">
        <w:t xml:space="preserve"> </w:t>
      </w:r>
      <w:r>
        <w:t xml:space="preserve">and </w:t>
      </w:r>
      <w:r w:rsidR="00D752E6">
        <w:t>202</w:t>
      </w:r>
      <w:r w:rsidR="00BA5D0E">
        <w:t>2</w:t>
      </w:r>
      <w:r>
        <w:t xml:space="preserve">, with a birth rate of </w:t>
      </w:r>
      <w:r w:rsidR="00D752E6">
        <w:t>9.</w:t>
      </w:r>
      <w:r w:rsidR="00BA5D0E">
        <w:t>8</w:t>
      </w:r>
      <w:r w:rsidRPr="008E5333">
        <w:t>%.</w:t>
      </w:r>
    </w:p>
    <w:p w14:paraId="75D6E960" w14:textId="2B2C5F71" w:rsidR="00AE46A5" w:rsidRDefault="00E76FB8">
      <w:pPr>
        <w:pStyle w:val="BodyText"/>
      </w:pPr>
      <w:r>
        <w:t xml:space="preserve">The number of business deaths (VAT/PAYE de-registrations) in the Creative Industries growth sector in Scotland </w:t>
      </w:r>
      <w:r w:rsidR="00BA5D0E">
        <w:t>de</w:t>
      </w:r>
      <w:r w:rsidR="006359DC">
        <w:t xml:space="preserve">creased </w:t>
      </w:r>
      <w:r>
        <w:t xml:space="preserve">by </w:t>
      </w:r>
      <w:r w:rsidR="00BA5D0E">
        <w:t>22</w:t>
      </w:r>
      <w:r w:rsidR="00D752E6">
        <w:t>.</w:t>
      </w:r>
      <w:r w:rsidR="00BA5D0E">
        <w:t>9</w:t>
      </w:r>
      <w:r>
        <w:t xml:space="preserve">%, from </w:t>
      </w:r>
      <w:r w:rsidR="00D85BEA">
        <w:t>2</w:t>
      </w:r>
      <w:r>
        <w:t>,</w:t>
      </w:r>
      <w:r w:rsidR="00BA5D0E">
        <w:t>490</w:t>
      </w:r>
      <w:r w:rsidR="00D752E6">
        <w:t xml:space="preserve"> </w:t>
      </w:r>
      <w:r>
        <w:t xml:space="preserve">in </w:t>
      </w:r>
      <w:r w:rsidR="00D752E6">
        <w:t>2021</w:t>
      </w:r>
      <w:r w:rsidR="00BA5D0E">
        <w:t xml:space="preserve"> to 1,920 in 2022</w:t>
      </w:r>
      <w:r>
        <w:t xml:space="preserve">. The business death rate, which is the number of deaths as a percentage of active businesses, was </w:t>
      </w:r>
      <w:r w:rsidR="00D752E6">
        <w:t>1</w:t>
      </w:r>
      <w:r w:rsidR="00BA5D0E">
        <w:t>3</w:t>
      </w:r>
      <w:r w:rsidR="00D752E6">
        <w:t>.</w:t>
      </w:r>
      <w:r w:rsidR="00BA5D0E">
        <w:t>0</w:t>
      </w:r>
      <w:r w:rsidRPr="008E5333">
        <w:t>%.</w:t>
      </w:r>
      <w:r>
        <w:t xml:space="preserve"> In comparison, business deaths in Cr</w:t>
      </w:r>
      <w:r w:rsidR="00615AC3">
        <w:t>eative Industries across the UK</w:t>
      </w:r>
      <w:r>
        <w:t xml:space="preserve"> </w:t>
      </w:r>
      <w:r w:rsidR="00BA5D0E">
        <w:t>de</w:t>
      </w:r>
      <w:r w:rsidR="006359DC">
        <w:t xml:space="preserve">creased </w:t>
      </w:r>
      <w:r>
        <w:t xml:space="preserve">by </w:t>
      </w:r>
      <w:r w:rsidR="00BA5D0E">
        <w:t>9</w:t>
      </w:r>
      <w:r w:rsidR="00D752E6">
        <w:t>.</w:t>
      </w:r>
      <w:r w:rsidR="00BA5D0E">
        <w:t>5</w:t>
      </w:r>
      <w:r>
        <w:t xml:space="preserve">% between </w:t>
      </w:r>
      <w:r w:rsidR="00D752E6">
        <w:t>202</w:t>
      </w:r>
      <w:r w:rsidR="00BA5D0E">
        <w:t>1</w:t>
      </w:r>
      <w:r w:rsidR="00D752E6">
        <w:t xml:space="preserve"> </w:t>
      </w:r>
      <w:r>
        <w:t xml:space="preserve">and </w:t>
      </w:r>
      <w:r w:rsidR="00D752E6">
        <w:t>202</w:t>
      </w:r>
      <w:r w:rsidR="00BA5D0E">
        <w:t>2</w:t>
      </w:r>
      <w:r>
        <w:t xml:space="preserve">, with a death rate of </w:t>
      </w:r>
      <w:r w:rsidR="00D85BEA">
        <w:t>1</w:t>
      </w:r>
      <w:r w:rsidR="00D752E6">
        <w:t>2.</w:t>
      </w:r>
      <w:r w:rsidR="00BA5D0E">
        <w:t>1</w:t>
      </w:r>
      <w:r w:rsidRPr="008E5333">
        <w:t>%.</w:t>
      </w:r>
    </w:p>
    <w:p w14:paraId="0AC48109" w14:textId="77777777" w:rsidR="00AE46A5" w:rsidRDefault="00E76FB8">
      <w:pPr>
        <w:pStyle w:val="Heading3"/>
      </w:pPr>
      <w:bookmarkStart w:id="11" w:name="sources-of-information"/>
      <w:bookmarkEnd w:id="11"/>
      <w:r>
        <w:lastRenderedPageBreak/>
        <w:t>Sources of information</w:t>
      </w:r>
    </w:p>
    <w:p w14:paraId="2F96E33A" w14:textId="77777777" w:rsidR="00AE46A5" w:rsidRDefault="00E76FB8">
      <w:pPr>
        <w:pStyle w:val="FirstParagraph"/>
      </w:pPr>
      <w:r>
        <w:rPr>
          <w:b/>
        </w:rPr>
        <w:t>GDP</w:t>
      </w:r>
      <w:r>
        <w:t xml:space="preserve"> – Scottish Government Quarterly GDP Index.</w:t>
      </w:r>
    </w:p>
    <w:p w14:paraId="4A98014F" w14:textId="77777777" w:rsidR="00AE46A5" w:rsidRDefault="00E76FB8">
      <w:pPr>
        <w:pStyle w:val="BodyText"/>
      </w:pPr>
      <w:r>
        <w:rPr>
          <w:b/>
        </w:rPr>
        <w:t>Employment</w:t>
      </w:r>
      <w:r>
        <w:t xml:space="preserve"> – Business Register and Employment Survey.</w:t>
      </w:r>
    </w:p>
    <w:p w14:paraId="44771A5A" w14:textId="77777777" w:rsidR="00AE46A5" w:rsidRDefault="00E76FB8">
      <w:pPr>
        <w:pStyle w:val="BodyText"/>
      </w:pPr>
      <w:r>
        <w:rPr>
          <w:b/>
        </w:rPr>
        <w:t>Exports</w:t>
      </w:r>
      <w:r>
        <w:t xml:space="preserve"> –</w:t>
      </w:r>
      <w:r w:rsidR="005C27E4">
        <w:t xml:space="preserve"> Export Statistics Scotland</w:t>
      </w:r>
      <w:r>
        <w:t>.</w:t>
      </w:r>
    </w:p>
    <w:p w14:paraId="283AC2B1" w14:textId="77777777" w:rsidR="00AE46A5" w:rsidRDefault="00E76FB8">
      <w:pPr>
        <w:pStyle w:val="BodyText"/>
      </w:pPr>
      <w:r>
        <w:rPr>
          <w:b/>
        </w:rPr>
        <w:t xml:space="preserve">Turnover &amp; </w:t>
      </w:r>
      <w:proofErr w:type="spellStart"/>
      <w:r>
        <w:rPr>
          <w:b/>
        </w:rPr>
        <w:t>GVA</w:t>
      </w:r>
      <w:proofErr w:type="spellEnd"/>
      <w:r>
        <w:t xml:space="preserve"> - Scottish Annual Business Statis</w:t>
      </w:r>
      <w:r w:rsidR="005C27E4">
        <w:t>tics</w:t>
      </w:r>
      <w:r>
        <w:t>.</w:t>
      </w:r>
    </w:p>
    <w:p w14:paraId="714BCB87" w14:textId="77777777" w:rsidR="00AE46A5" w:rsidRDefault="00E76FB8">
      <w:pPr>
        <w:pStyle w:val="BodyText"/>
      </w:pPr>
      <w:r>
        <w:rPr>
          <w:b/>
        </w:rPr>
        <w:t>Enterprises</w:t>
      </w:r>
      <w:r>
        <w:t xml:space="preserve"> – Inter Departmental Business Register.</w:t>
      </w:r>
    </w:p>
    <w:p w14:paraId="3FA8BE89" w14:textId="532FF5B1" w:rsidR="00AE46A5" w:rsidRDefault="00E76FB8">
      <w:pPr>
        <w:pStyle w:val="BodyText"/>
      </w:pPr>
      <w:r>
        <w:rPr>
          <w:b/>
        </w:rPr>
        <w:t>Earnings</w:t>
      </w:r>
      <w:r>
        <w:t xml:space="preserve"> – Annual Survey of Hours &amp; Earnings.</w:t>
      </w:r>
    </w:p>
    <w:p w14:paraId="47A266A2" w14:textId="77777777" w:rsidR="00AE46A5" w:rsidRDefault="00E76FB8">
      <w:pPr>
        <w:pStyle w:val="BodyText"/>
      </w:pPr>
      <w:r>
        <w:rPr>
          <w:b/>
        </w:rPr>
        <w:t>Business Demography</w:t>
      </w:r>
      <w:r>
        <w:t xml:space="preserve"> - Inter Departmental Business Register and ONS Business Demography.</w:t>
      </w:r>
    </w:p>
    <w:p w14:paraId="3C483F07" w14:textId="77777777" w:rsidR="005C27E4" w:rsidRDefault="005C27E4" w:rsidP="005C27E4">
      <w:pPr>
        <w:pStyle w:val="BodyText"/>
      </w:pPr>
      <w:r>
        <w:t xml:space="preserve">All data are available from the Growth Sector Statistics Database: </w:t>
      </w:r>
      <w:hyperlink r:id="rId12" w:history="1">
        <w:r>
          <w:rPr>
            <w:rStyle w:val="Hyperlink"/>
          </w:rPr>
          <w:t>https://www.gov.scot/publications/growth-sector-statistics/</w:t>
        </w:r>
      </w:hyperlink>
    </w:p>
    <w:p w14:paraId="3AA6B1C8" w14:textId="77777777" w:rsidR="005C27E4" w:rsidRDefault="005C27E4" w:rsidP="005C27E4">
      <w:pPr>
        <w:pStyle w:val="BodyText"/>
      </w:pPr>
      <w:r>
        <w:t>All percentages and percentage changes over time are calculated based on the rounded figures shown in the Growth Sector Statistics Database.</w:t>
      </w:r>
    </w:p>
    <w:p w14:paraId="27FF0F03" w14:textId="78B88EED" w:rsidR="005C27E4" w:rsidRDefault="005C27E4" w:rsidP="005C27E4">
      <w:pPr>
        <w:pStyle w:val="BodyText"/>
      </w:pPr>
      <w:r>
        <w:t xml:space="preserve">For more information about the methodology behind the Growth Sector Statistics Database, please see the Methodology Note: </w:t>
      </w:r>
      <w:hyperlink r:id="rId13" w:history="1">
        <w:r w:rsidR="00666B2C">
          <w:rPr>
            <w:rStyle w:val="Hyperlink"/>
          </w:rPr>
          <w:t>https://www.gov.scot/binaries/content/documents/govscot/publications/statistics/2019/07/growth-sector-statistics/documents/growth-sector-method-note/growth-sector-method-note/govscot%3Adocument/Growth%2BSectors%2BMethodology%2Bdocument.docx</w:t>
        </w:r>
      </w:hyperlink>
    </w:p>
    <w:p w14:paraId="7EEFB942" w14:textId="77777777" w:rsidR="00AE46A5" w:rsidRDefault="00AE46A5" w:rsidP="005C27E4">
      <w:pPr>
        <w:pStyle w:val="BodyText"/>
      </w:pPr>
    </w:p>
    <w:sectPr w:rsidR="00AE46A5" w:rsidSect="00B92F6E">
      <w:pgSz w:w="12240" w:h="15840"/>
      <w:pgMar w:top="709"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AB1E" w14:textId="77777777" w:rsidR="00B65A04" w:rsidRDefault="00E76FB8">
      <w:pPr>
        <w:spacing w:after="0"/>
      </w:pPr>
      <w:r>
        <w:separator/>
      </w:r>
    </w:p>
  </w:endnote>
  <w:endnote w:type="continuationSeparator" w:id="0">
    <w:p w14:paraId="44E82D8F" w14:textId="77777777" w:rsidR="00B65A04" w:rsidRDefault="00E76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87DF" w14:textId="77777777" w:rsidR="00AE46A5" w:rsidRDefault="00E76FB8">
      <w:r>
        <w:separator/>
      </w:r>
    </w:p>
  </w:footnote>
  <w:footnote w:type="continuationSeparator" w:id="0">
    <w:p w14:paraId="49105116" w14:textId="77777777" w:rsidR="00AE46A5" w:rsidRDefault="00E76FB8">
      <w:r>
        <w:continuationSeparator/>
      </w:r>
    </w:p>
  </w:footnote>
  <w:footnote w:id="1">
    <w:p w14:paraId="33A49069" w14:textId="7CBA9121" w:rsidR="00AE46A5" w:rsidRPr="00F15050" w:rsidRDefault="00E76FB8">
      <w:pPr>
        <w:pStyle w:val="FootnoteText"/>
        <w:rPr>
          <w:sz w:val="16"/>
          <w:szCs w:val="16"/>
        </w:rPr>
      </w:pPr>
      <w:r w:rsidRPr="00F15050">
        <w:rPr>
          <w:rStyle w:val="FootnoteReference"/>
          <w:sz w:val="16"/>
          <w:szCs w:val="16"/>
        </w:rPr>
        <w:footnoteRef/>
      </w:r>
      <w:r w:rsidRPr="00F15050">
        <w:rPr>
          <w:sz w:val="16"/>
          <w:szCs w:val="16"/>
        </w:rPr>
        <w:t xml:space="preserve"> The index represents the volume of </w:t>
      </w:r>
      <w:proofErr w:type="spellStart"/>
      <w:r w:rsidRPr="00F15050">
        <w:rPr>
          <w:sz w:val="16"/>
          <w:szCs w:val="16"/>
        </w:rPr>
        <w:t>GVA</w:t>
      </w:r>
      <w:proofErr w:type="spellEnd"/>
      <w:r w:rsidRPr="00F15050">
        <w:rPr>
          <w:sz w:val="16"/>
          <w:szCs w:val="16"/>
        </w:rPr>
        <w:t xml:space="preserve"> created compared to the ‘base’ year (currently 201</w:t>
      </w:r>
      <w:r w:rsidR="001F1F02">
        <w:rPr>
          <w:sz w:val="16"/>
          <w:szCs w:val="16"/>
        </w:rPr>
        <w:t>9</w:t>
      </w:r>
      <w:r w:rsidRPr="00F15050">
        <w:rPr>
          <w:sz w:val="16"/>
          <w:szCs w:val="16"/>
        </w:rPr>
        <w:t>). Figures are deflated to remove the effect of price changes over time to produce an estimate of real terms (or constant price) growth. The figures are seasonally adjusted to remove the effects of regular, calendar based cycles in certain industries.</w:t>
      </w:r>
    </w:p>
  </w:footnote>
  <w:footnote w:id="2">
    <w:p w14:paraId="4B44DB45" w14:textId="77777777" w:rsidR="00AE46A5" w:rsidRDefault="00E76FB8">
      <w:pPr>
        <w:pStyle w:val="FootnoteText"/>
      </w:pPr>
      <w:r>
        <w:rPr>
          <w:rStyle w:val="FootnoteReference"/>
        </w:rPr>
        <w:footnoteRef/>
      </w:r>
      <w:r>
        <w:t xml:space="preserve"> The figures for the growth sectors are derived by aggregating estimates based at a low Standard Industrial Classification (SIC) level. Export Statistics Scotland is not designed to collect data at this level of accuracy, therefore these results should be treated as indicative.</w:t>
      </w:r>
    </w:p>
  </w:footnote>
  <w:footnote w:id="3">
    <w:p w14:paraId="2B9CB8B7" w14:textId="77777777" w:rsidR="00AE46A5" w:rsidRDefault="00E76FB8">
      <w:pPr>
        <w:pStyle w:val="FootnoteText"/>
      </w:pPr>
      <w:r>
        <w:rPr>
          <w:rStyle w:val="FootnoteReference"/>
        </w:rPr>
        <w:footnoteRef/>
      </w:r>
      <w:r>
        <w:t xml:space="preserve"> Employment statistics referred to here are not directly comparable with Business Register and Employment Survey (BRES) employment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1B6C5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CC3483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3E77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F82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CCB6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ED6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CE0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8E07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BE0E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B239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9E87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388F1B"/>
    <w:multiLevelType w:val="multilevel"/>
    <w:tmpl w:val="231E8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C237915"/>
    <w:multiLevelType w:val="multilevel"/>
    <w:tmpl w:val="27E006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990522024">
    <w:abstractNumId w:val="0"/>
  </w:num>
  <w:num w:numId="2" w16cid:durableId="1252742163">
    <w:abstractNumId w:val="12"/>
  </w:num>
  <w:num w:numId="3" w16cid:durableId="1539585720">
    <w:abstractNumId w:val="10"/>
  </w:num>
  <w:num w:numId="4" w16cid:durableId="1575506911">
    <w:abstractNumId w:val="8"/>
  </w:num>
  <w:num w:numId="5" w16cid:durableId="143549980">
    <w:abstractNumId w:val="7"/>
  </w:num>
  <w:num w:numId="6" w16cid:durableId="1887836619">
    <w:abstractNumId w:val="6"/>
  </w:num>
  <w:num w:numId="7" w16cid:durableId="1408765012">
    <w:abstractNumId w:val="5"/>
  </w:num>
  <w:num w:numId="8" w16cid:durableId="813639262">
    <w:abstractNumId w:val="9"/>
  </w:num>
  <w:num w:numId="9" w16cid:durableId="1816331786">
    <w:abstractNumId w:val="4"/>
  </w:num>
  <w:num w:numId="10" w16cid:durableId="1553735468">
    <w:abstractNumId w:val="3"/>
  </w:num>
  <w:num w:numId="11" w16cid:durableId="936213874">
    <w:abstractNumId w:val="2"/>
  </w:num>
  <w:num w:numId="12" w16cid:durableId="1446652526">
    <w:abstractNumId w:val="1"/>
  </w:num>
  <w:num w:numId="13" w16cid:durableId="221407399">
    <w:abstractNumId w:val="11"/>
  </w:num>
  <w:num w:numId="14" w16cid:durableId="2119058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2A95"/>
    <w:rsid w:val="000416BE"/>
    <w:rsid w:val="000665C1"/>
    <w:rsid w:val="00080A50"/>
    <w:rsid w:val="000B0AA2"/>
    <w:rsid w:val="0019688B"/>
    <w:rsid w:val="001A0723"/>
    <w:rsid w:val="001C3C1C"/>
    <w:rsid w:val="001F1F02"/>
    <w:rsid w:val="002233D6"/>
    <w:rsid w:val="002439D4"/>
    <w:rsid w:val="002A47B4"/>
    <w:rsid w:val="00372B76"/>
    <w:rsid w:val="00385096"/>
    <w:rsid w:val="00386FA1"/>
    <w:rsid w:val="00387758"/>
    <w:rsid w:val="00392732"/>
    <w:rsid w:val="00392F40"/>
    <w:rsid w:val="00397B21"/>
    <w:rsid w:val="003A5303"/>
    <w:rsid w:val="003C7C76"/>
    <w:rsid w:val="003E4273"/>
    <w:rsid w:val="004154D2"/>
    <w:rsid w:val="00430A6B"/>
    <w:rsid w:val="004639CF"/>
    <w:rsid w:val="004C5D73"/>
    <w:rsid w:val="004E29B3"/>
    <w:rsid w:val="004E6A8D"/>
    <w:rsid w:val="00537ABB"/>
    <w:rsid w:val="00556064"/>
    <w:rsid w:val="00590D07"/>
    <w:rsid w:val="005C27E4"/>
    <w:rsid w:val="005F2973"/>
    <w:rsid w:val="005F66E6"/>
    <w:rsid w:val="00615AC3"/>
    <w:rsid w:val="00620565"/>
    <w:rsid w:val="00624048"/>
    <w:rsid w:val="006359DC"/>
    <w:rsid w:val="00642581"/>
    <w:rsid w:val="0065414E"/>
    <w:rsid w:val="006612C2"/>
    <w:rsid w:val="00666B2C"/>
    <w:rsid w:val="00676444"/>
    <w:rsid w:val="006A47DF"/>
    <w:rsid w:val="006D76E8"/>
    <w:rsid w:val="00730C38"/>
    <w:rsid w:val="00782DC2"/>
    <w:rsid w:val="00784D58"/>
    <w:rsid w:val="007F0B59"/>
    <w:rsid w:val="00803B4C"/>
    <w:rsid w:val="00823E86"/>
    <w:rsid w:val="00875A24"/>
    <w:rsid w:val="00882DB6"/>
    <w:rsid w:val="008A1051"/>
    <w:rsid w:val="008C1B99"/>
    <w:rsid w:val="008D6863"/>
    <w:rsid w:val="008E5333"/>
    <w:rsid w:val="008F54AD"/>
    <w:rsid w:val="00917279"/>
    <w:rsid w:val="009311C5"/>
    <w:rsid w:val="009A30F0"/>
    <w:rsid w:val="009F49AA"/>
    <w:rsid w:val="009F674F"/>
    <w:rsid w:val="00A136F6"/>
    <w:rsid w:val="00A26AFB"/>
    <w:rsid w:val="00A70225"/>
    <w:rsid w:val="00AD5F7D"/>
    <w:rsid w:val="00AE2915"/>
    <w:rsid w:val="00AE46A5"/>
    <w:rsid w:val="00B0123C"/>
    <w:rsid w:val="00B32127"/>
    <w:rsid w:val="00B54527"/>
    <w:rsid w:val="00B577CF"/>
    <w:rsid w:val="00B65A04"/>
    <w:rsid w:val="00B86B75"/>
    <w:rsid w:val="00B92F6E"/>
    <w:rsid w:val="00BA5679"/>
    <w:rsid w:val="00BA5D0E"/>
    <w:rsid w:val="00BC48D5"/>
    <w:rsid w:val="00BF1CBE"/>
    <w:rsid w:val="00C00610"/>
    <w:rsid w:val="00C36279"/>
    <w:rsid w:val="00C40A7A"/>
    <w:rsid w:val="00C43CB4"/>
    <w:rsid w:val="00C53E98"/>
    <w:rsid w:val="00CA6C36"/>
    <w:rsid w:val="00CE6D72"/>
    <w:rsid w:val="00D3737D"/>
    <w:rsid w:val="00D752E6"/>
    <w:rsid w:val="00D85BEA"/>
    <w:rsid w:val="00D95B95"/>
    <w:rsid w:val="00D97407"/>
    <w:rsid w:val="00DE45D8"/>
    <w:rsid w:val="00E041F0"/>
    <w:rsid w:val="00E15099"/>
    <w:rsid w:val="00E26A4A"/>
    <w:rsid w:val="00E315A3"/>
    <w:rsid w:val="00E76FB8"/>
    <w:rsid w:val="00E7729A"/>
    <w:rsid w:val="00EB04E7"/>
    <w:rsid w:val="00EC1AF6"/>
    <w:rsid w:val="00EE5D04"/>
    <w:rsid w:val="00EF2962"/>
    <w:rsid w:val="00F15050"/>
    <w:rsid w:val="00F41D74"/>
    <w:rsid w:val="00F46460"/>
    <w:rsid w:val="00F47296"/>
    <w:rsid w:val="00F650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27AA"/>
  <w15:docId w15:val="{152C89E7-8015-4164-ADD2-AC133C3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0C"/>
    <w:rPr>
      <w:rFonts w:ascii="Arial" w:hAnsi="Arial"/>
    </w:rPr>
  </w:style>
  <w:style w:type="paragraph" w:styleId="Heading1">
    <w:name w:val="heading 1"/>
    <w:basedOn w:val="Normal"/>
    <w:next w:val="BodyText"/>
    <w:uiPriority w:val="9"/>
    <w:qFormat/>
    <w:rsid w:val="009B750C"/>
    <w:pPr>
      <w:keepNext/>
      <w:keepLines/>
      <w:pBdr>
        <w:bottom w:val="single" w:sz="4" w:space="1" w:color="auto"/>
      </w:pBdr>
      <w:spacing w:before="480" w:after="0"/>
      <w:outlineLvl w:val="0"/>
    </w:pPr>
    <w:rPr>
      <w:rFonts w:eastAsiaTheme="majorEastAsia" w:cstheme="majorBidi"/>
      <w:b/>
      <w:bCs/>
      <w:sz w:val="28"/>
      <w:szCs w:val="32"/>
    </w:rPr>
  </w:style>
  <w:style w:type="paragraph" w:styleId="Heading2">
    <w:name w:val="heading 2"/>
    <w:basedOn w:val="Normal"/>
    <w:next w:val="BodyText"/>
    <w:uiPriority w:val="9"/>
    <w:unhideWhenUsed/>
    <w:qFormat/>
    <w:rsid w:val="003C6F64"/>
    <w:pPr>
      <w:keepNext/>
      <w:keepLines/>
      <w:spacing w:before="200" w:after="0"/>
      <w:outlineLvl w:val="1"/>
    </w:pPr>
    <w:rPr>
      <w:rFonts w:eastAsiaTheme="majorEastAsia" w:cstheme="majorBidi"/>
      <w:b/>
      <w:bCs/>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6F5239"/>
    <w:pPr>
      <w:keepNext/>
      <w:keepLines/>
      <w:shd w:val="clear" w:color="auto" w:fill="1F497D" w:themeFill="text2"/>
      <w:spacing w:before="480" w:after="240"/>
      <w:jc w:val="center"/>
    </w:pPr>
    <w:rPr>
      <w:rFonts w:eastAsiaTheme="majorEastAsia" w:cstheme="majorBidi"/>
      <w:b/>
      <w:bCs/>
      <w:color w:val="FFFFFF" w:themeColor="background1"/>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623EAD"/>
    <w:pPr>
      <w:keepNext/>
      <w:keepLines/>
      <w:shd w:val="clear" w:color="auto" w:fill="1F497D" w:themeFill="text2"/>
      <w:spacing w:after="80"/>
      <w:jc w:val="center"/>
    </w:pPr>
    <w:rPr>
      <w:rFonts w:ascii="Arial" w:hAnsi="Arial"/>
      <w:b/>
      <w:color w:val="FFFFFF" w:themeColor="background1"/>
    </w:rPr>
  </w:style>
  <w:style w:type="paragraph" w:styleId="Date">
    <w:name w:val="Date"/>
    <w:next w:val="BodyText"/>
    <w:qFormat/>
    <w:rsid w:val="00623EAD"/>
    <w:pPr>
      <w:keepNext/>
      <w:keepLines/>
      <w:shd w:val="clear" w:color="auto" w:fill="1F497D" w:themeFill="text2"/>
      <w:jc w:val="center"/>
    </w:pPr>
    <w:rPr>
      <w:rFonts w:ascii="Arial" w:hAnsi="Arial"/>
      <w:b/>
      <w:color w:val="FFFFFF" w:themeColor="background1"/>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9B750C"/>
    <w:pPr>
      <w:spacing w:before="100" w:after="100"/>
      <w:jc w:val="center"/>
    </w:pPr>
    <w:rPr>
      <w:rFonts w:eastAsiaTheme="majorEastAsia" w:cstheme="majorBidi"/>
      <w:bCs/>
      <w:i/>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23EAD"/>
  </w:style>
  <w:style w:type="character" w:styleId="FollowedHyperlink">
    <w:name w:val="FollowedHyperlink"/>
    <w:basedOn w:val="DefaultParagraphFont"/>
    <w:semiHidden/>
    <w:unhideWhenUsed/>
    <w:rsid w:val="005C27E4"/>
    <w:rPr>
      <w:color w:val="800080" w:themeColor="followedHyperlink"/>
      <w:u w:val="single"/>
    </w:rPr>
  </w:style>
  <w:style w:type="paragraph" w:styleId="BalloonText">
    <w:name w:val="Balloon Text"/>
    <w:basedOn w:val="Normal"/>
    <w:link w:val="BalloonTextChar"/>
    <w:semiHidden/>
    <w:unhideWhenUsed/>
    <w:rsid w:val="008E533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E5333"/>
    <w:rPr>
      <w:rFonts w:ascii="Segoe UI" w:hAnsi="Segoe UI" w:cs="Segoe UI"/>
      <w:sz w:val="18"/>
      <w:szCs w:val="18"/>
    </w:rPr>
  </w:style>
  <w:style w:type="character" w:styleId="CommentReference">
    <w:name w:val="annotation reference"/>
    <w:basedOn w:val="DefaultParagraphFont"/>
    <w:semiHidden/>
    <w:unhideWhenUsed/>
    <w:rsid w:val="006612C2"/>
    <w:rPr>
      <w:sz w:val="16"/>
      <w:szCs w:val="16"/>
    </w:rPr>
  </w:style>
  <w:style w:type="paragraph" w:styleId="CommentText">
    <w:name w:val="annotation text"/>
    <w:basedOn w:val="Normal"/>
    <w:link w:val="CommentTextChar"/>
    <w:semiHidden/>
    <w:unhideWhenUsed/>
    <w:rsid w:val="006612C2"/>
    <w:rPr>
      <w:sz w:val="20"/>
      <w:szCs w:val="20"/>
    </w:rPr>
  </w:style>
  <w:style w:type="character" w:customStyle="1" w:styleId="CommentTextChar">
    <w:name w:val="Comment Text Char"/>
    <w:basedOn w:val="DefaultParagraphFont"/>
    <w:link w:val="CommentText"/>
    <w:semiHidden/>
    <w:rsid w:val="006612C2"/>
    <w:rPr>
      <w:rFonts w:ascii="Arial" w:hAnsi="Arial"/>
      <w:sz w:val="20"/>
      <w:szCs w:val="20"/>
    </w:rPr>
  </w:style>
  <w:style w:type="paragraph" w:styleId="CommentSubject">
    <w:name w:val="annotation subject"/>
    <w:basedOn w:val="CommentText"/>
    <w:next w:val="CommentText"/>
    <w:link w:val="CommentSubjectChar"/>
    <w:semiHidden/>
    <w:unhideWhenUsed/>
    <w:rsid w:val="006612C2"/>
    <w:rPr>
      <w:b/>
      <w:bCs/>
    </w:rPr>
  </w:style>
  <w:style w:type="character" w:customStyle="1" w:styleId="CommentSubjectChar">
    <w:name w:val="Comment Subject Char"/>
    <w:basedOn w:val="CommentTextChar"/>
    <w:link w:val="CommentSubject"/>
    <w:semiHidden/>
    <w:rsid w:val="006612C2"/>
    <w:rPr>
      <w:rFonts w:ascii="Arial" w:hAnsi="Arial"/>
      <w:b/>
      <w:bCs/>
      <w:sz w:val="20"/>
      <w:szCs w:val="20"/>
    </w:rPr>
  </w:style>
  <w:style w:type="paragraph" w:customStyle="1" w:styleId="Bulletted">
    <w:name w:val="Bulletted"/>
    <w:basedOn w:val="Normal"/>
    <w:next w:val="Normal"/>
    <w:rsid w:val="00676444"/>
    <w:pPr>
      <w:numPr>
        <w:numId w:val="14"/>
      </w:numPr>
      <w:tabs>
        <w:tab w:val="left" w:pos="360"/>
        <w:tab w:val="left" w:pos="1080"/>
        <w:tab w:val="left" w:pos="1800"/>
        <w:tab w:val="left" w:pos="3240"/>
      </w:tabs>
      <w:spacing w:after="0"/>
    </w:pPr>
    <w:rPr>
      <w:rFonts w:eastAsia="Times New Roman" w:cs="Times New Roman"/>
      <w:szCs w:val="20"/>
      <w:lang w:val="en-GB"/>
    </w:rPr>
  </w:style>
  <w:style w:type="paragraph" w:styleId="Revision">
    <w:name w:val="Revision"/>
    <w:hidden/>
    <w:semiHidden/>
    <w:rsid w:val="00882DB6"/>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growth-sector-statistics/" TargetMode="External"/><Relationship Id="rId13"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growth-sector-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gov.scot/binaries/content/documents/govscot/publications/statistics/2019/07/growth-sector-statistics/documents/growth-sector-method-note/growth-sector-method-note/govscot%3Adocument/Growth%2BSectors%2BMethodology%2Bdocument.doc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0177a\datashare\OCEA\Business_Enterprise\Growth%20Sectors\Growth%20sector%20workings\Feb%202024%20update%20-%20Demo,%20Exports,%20LS%20Cluster\GDP\Growth%20Industries%20-%20Table%204%20-%202023Q3-%20GDP%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b="1"/>
              <a:t>Scottish Quarterly GDP Index,</a:t>
            </a:r>
            <a:r>
              <a:rPr lang="en-GB" b="1" baseline="0"/>
              <a:t> 2023 Q4</a:t>
            </a:r>
            <a:endParaRPr lang="en-GB"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5"/>
          <c:order val="0"/>
          <c:tx>
            <c:v>Whole Economy</c:v>
          </c:tx>
          <c:spPr>
            <a:ln w="41275" cap="sq">
              <a:solidFill>
                <a:srgbClr val="2DA197"/>
              </a:solidFill>
              <a:prstDash val="sysDot"/>
              <a:bevel/>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Sheet1!$A$4:$CZ$4</c:f>
              <c:numCache>
                <c:formatCode>0.0</c:formatCode>
                <c:ptCount val="104"/>
                <c:pt idx="0">
                  <c:v>72.7</c:v>
                </c:pt>
                <c:pt idx="1">
                  <c:v>73</c:v>
                </c:pt>
                <c:pt idx="2">
                  <c:v>72.599999999999994</c:v>
                </c:pt>
                <c:pt idx="3">
                  <c:v>72.599999999999994</c:v>
                </c:pt>
                <c:pt idx="4">
                  <c:v>72.7</c:v>
                </c:pt>
                <c:pt idx="5">
                  <c:v>72.900000000000006</c:v>
                </c:pt>
                <c:pt idx="6">
                  <c:v>73.2</c:v>
                </c:pt>
                <c:pt idx="7">
                  <c:v>74.099999999999994</c:v>
                </c:pt>
                <c:pt idx="8">
                  <c:v>74.8</c:v>
                </c:pt>
                <c:pt idx="9">
                  <c:v>75.099999999999994</c:v>
                </c:pt>
                <c:pt idx="10">
                  <c:v>75.3</c:v>
                </c:pt>
                <c:pt idx="11">
                  <c:v>75.3</c:v>
                </c:pt>
                <c:pt idx="12">
                  <c:v>75.599999999999994</c:v>
                </c:pt>
                <c:pt idx="13">
                  <c:v>75.599999999999994</c:v>
                </c:pt>
                <c:pt idx="14">
                  <c:v>76.400000000000006</c:v>
                </c:pt>
                <c:pt idx="15">
                  <c:v>77.400000000000006</c:v>
                </c:pt>
                <c:pt idx="16">
                  <c:v>77.099999999999994</c:v>
                </c:pt>
                <c:pt idx="17">
                  <c:v>77.5</c:v>
                </c:pt>
                <c:pt idx="18">
                  <c:v>78.099999999999994</c:v>
                </c:pt>
                <c:pt idx="19">
                  <c:v>78.2</c:v>
                </c:pt>
                <c:pt idx="20">
                  <c:v>78.7</c:v>
                </c:pt>
                <c:pt idx="21">
                  <c:v>79.599999999999994</c:v>
                </c:pt>
                <c:pt idx="22">
                  <c:v>80.8</c:v>
                </c:pt>
                <c:pt idx="23">
                  <c:v>80.8</c:v>
                </c:pt>
                <c:pt idx="24">
                  <c:v>81.8</c:v>
                </c:pt>
                <c:pt idx="25">
                  <c:v>81.900000000000006</c:v>
                </c:pt>
                <c:pt idx="26">
                  <c:v>81.900000000000006</c:v>
                </c:pt>
                <c:pt idx="27">
                  <c:v>82.9</c:v>
                </c:pt>
                <c:pt idx="28">
                  <c:v>82.5</c:v>
                </c:pt>
                <c:pt idx="29">
                  <c:v>82.7</c:v>
                </c:pt>
                <c:pt idx="30">
                  <c:v>83.4</c:v>
                </c:pt>
                <c:pt idx="31">
                  <c:v>84.5</c:v>
                </c:pt>
                <c:pt idx="32">
                  <c:v>85.5</c:v>
                </c:pt>
                <c:pt idx="33">
                  <c:v>85.7</c:v>
                </c:pt>
                <c:pt idx="34">
                  <c:v>85.6</c:v>
                </c:pt>
                <c:pt idx="35">
                  <c:v>86.3</c:v>
                </c:pt>
                <c:pt idx="36">
                  <c:v>86.4</c:v>
                </c:pt>
                <c:pt idx="37">
                  <c:v>86.2</c:v>
                </c:pt>
                <c:pt idx="38">
                  <c:v>86.5</c:v>
                </c:pt>
                <c:pt idx="39">
                  <c:v>87.2</c:v>
                </c:pt>
                <c:pt idx="40">
                  <c:v>88.6</c:v>
                </c:pt>
                <c:pt idx="41">
                  <c:v>89.3</c:v>
                </c:pt>
                <c:pt idx="42">
                  <c:v>88.3</c:v>
                </c:pt>
                <c:pt idx="43">
                  <c:v>86.7</c:v>
                </c:pt>
                <c:pt idx="44">
                  <c:v>86.1</c:v>
                </c:pt>
                <c:pt idx="45">
                  <c:v>85.5</c:v>
                </c:pt>
                <c:pt idx="46">
                  <c:v>86</c:v>
                </c:pt>
                <c:pt idx="47">
                  <c:v>86.2</c:v>
                </c:pt>
                <c:pt idx="48">
                  <c:v>86.8</c:v>
                </c:pt>
                <c:pt idx="49">
                  <c:v>87.7</c:v>
                </c:pt>
                <c:pt idx="50">
                  <c:v>88.2</c:v>
                </c:pt>
                <c:pt idx="51">
                  <c:v>87.9</c:v>
                </c:pt>
                <c:pt idx="52">
                  <c:v>88.6</c:v>
                </c:pt>
                <c:pt idx="53">
                  <c:v>89</c:v>
                </c:pt>
                <c:pt idx="54">
                  <c:v>89.4</c:v>
                </c:pt>
                <c:pt idx="55">
                  <c:v>89.7</c:v>
                </c:pt>
                <c:pt idx="56">
                  <c:v>90.6</c:v>
                </c:pt>
                <c:pt idx="57">
                  <c:v>90.2</c:v>
                </c:pt>
                <c:pt idx="58">
                  <c:v>90.5</c:v>
                </c:pt>
                <c:pt idx="59">
                  <c:v>91.4</c:v>
                </c:pt>
                <c:pt idx="60">
                  <c:v>91.3</c:v>
                </c:pt>
                <c:pt idx="61">
                  <c:v>92.1</c:v>
                </c:pt>
                <c:pt idx="62">
                  <c:v>92.4</c:v>
                </c:pt>
                <c:pt idx="63">
                  <c:v>92.9</c:v>
                </c:pt>
                <c:pt idx="64">
                  <c:v>93.8</c:v>
                </c:pt>
                <c:pt idx="65">
                  <c:v>94.7</c:v>
                </c:pt>
                <c:pt idx="66">
                  <c:v>95.7</c:v>
                </c:pt>
                <c:pt idx="67">
                  <c:v>96.1</c:v>
                </c:pt>
                <c:pt idx="68">
                  <c:v>96.2</c:v>
                </c:pt>
                <c:pt idx="69">
                  <c:v>96.2</c:v>
                </c:pt>
                <c:pt idx="70">
                  <c:v>96.2</c:v>
                </c:pt>
                <c:pt idx="71">
                  <c:v>96.5</c:v>
                </c:pt>
                <c:pt idx="72">
                  <c:v>96.8</c:v>
                </c:pt>
                <c:pt idx="73">
                  <c:v>96.7</c:v>
                </c:pt>
                <c:pt idx="74">
                  <c:v>97.2</c:v>
                </c:pt>
                <c:pt idx="75">
                  <c:v>96.9</c:v>
                </c:pt>
                <c:pt idx="76">
                  <c:v>98.2</c:v>
                </c:pt>
                <c:pt idx="77">
                  <c:v>98.9</c:v>
                </c:pt>
                <c:pt idx="78">
                  <c:v>99.5</c:v>
                </c:pt>
                <c:pt idx="79">
                  <c:v>99.6</c:v>
                </c:pt>
                <c:pt idx="80">
                  <c:v>99.5</c:v>
                </c:pt>
                <c:pt idx="81">
                  <c:v>99.6</c:v>
                </c:pt>
                <c:pt idx="82">
                  <c:v>99.4</c:v>
                </c:pt>
                <c:pt idx="83">
                  <c:v>99.1</c:v>
                </c:pt>
                <c:pt idx="84">
                  <c:v>99.2</c:v>
                </c:pt>
                <c:pt idx="85">
                  <c:v>100</c:v>
                </c:pt>
                <c:pt idx="86">
                  <c:v>100.3</c:v>
                </c:pt>
                <c:pt idx="87">
                  <c:v>100.5</c:v>
                </c:pt>
                <c:pt idx="88">
                  <c:v>97.4</c:v>
                </c:pt>
                <c:pt idx="89">
                  <c:v>75.5</c:v>
                </c:pt>
                <c:pt idx="90">
                  <c:v>88.8</c:v>
                </c:pt>
                <c:pt idx="91">
                  <c:v>90.2</c:v>
                </c:pt>
                <c:pt idx="92">
                  <c:v>89.1</c:v>
                </c:pt>
                <c:pt idx="93">
                  <c:v>96</c:v>
                </c:pt>
                <c:pt idx="94">
                  <c:v>98.3</c:v>
                </c:pt>
                <c:pt idx="95">
                  <c:v>100.7</c:v>
                </c:pt>
                <c:pt idx="96">
                  <c:v>101.6</c:v>
                </c:pt>
                <c:pt idx="97">
                  <c:v>101.7</c:v>
                </c:pt>
                <c:pt idx="98">
                  <c:v>101.5</c:v>
                </c:pt>
                <c:pt idx="99">
                  <c:v>101.9</c:v>
                </c:pt>
                <c:pt idx="100">
                  <c:v>102.1</c:v>
                </c:pt>
                <c:pt idx="101">
                  <c:v>101.8</c:v>
                </c:pt>
                <c:pt idx="102">
                  <c:v>102.2</c:v>
                </c:pt>
                <c:pt idx="103" formatCode="General">
                  <c:v>101.6</c:v>
                </c:pt>
              </c:numCache>
            </c:numRef>
          </c:val>
          <c:smooth val="0"/>
          <c:extLst>
            <c:ext xmlns:c16="http://schemas.microsoft.com/office/drawing/2014/chart" uri="{C3380CC4-5D6E-409C-BE32-E72D297353CC}">
              <c16:uniqueId val="{00000000-C934-4534-BF4B-B03D5FD19832}"/>
            </c:ext>
          </c:extLst>
        </c:ser>
        <c:ser>
          <c:idx val="0"/>
          <c:order val="1"/>
          <c:tx>
            <c:strRef>
              <c:f>'Table 4new'!$B$13</c:f>
              <c:strCache>
                <c:ptCount val="1"/>
                <c:pt idx="0">
                  <c:v>Creative Industries (including Digital)</c:v>
                </c:pt>
              </c:strCache>
            </c:strRef>
          </c:tx>
          <c:spPr>
            <a:ln w="44450" cap="rnd">
              <a:solidFill>
                <a:srgbClr val="1C655F"/>
              </a:solidFill>
              <a:round/>
            </a:ln>
            <a:effectLst/>
          </c:spPr>
          <c:marker>
            <c:symbol val="none"/>
          </c:marker>
          <c:cat>
            <c:numRef>
              <c:f>Sheet1!$A$2:$CW$2</c:f>
              <c:numCache>
                <c:formatCode>General</c:formatCode>
                <c:ptCount val="101"/>
                <c:pt idx="0">
                  <c:v>1998</c:v>
                </c:pt>
                <c:pt idx="4">
                  <c:v>1999</c:v>
                </c:pt>
                <c:pt idx="8">
                  <c:v>2000</c:v>
                </c:pt>
                <c:pt idx="12">
                  <c:v>2001</c:v>
                </c:pt>
                <c:pt idx="16">
                  <c:v>2002</c:v>
                </c:pt>
                <c:pt idx="20">
                  <c:v>2003</c:v>
                </c:pt>
                <c:pt idx="24">
                  <c:v>2004</c:v>
                </c:pt>
                <c:pt idx="28">
                  <c:v>2005</c:v>
                </c:pt>
                <c:pt idx="32">
                  <c:v>2006</c:v>
                </c:pt>
                <c:pt idx="36">
                  <c:v>2007</c:v>
                </c:pt>
                <c:pt idx="40">
                  <c:v>2008</c:v>
                </c:pt>
                <c:pt idx="44">
                  <c:v>2009</c:v>
                </c:pt>
                <c:pt idx="48">
                  <c:v>2010</c:v>
                </c:pt>
                <c:pt idx="52">
                  <c:v>2011</c:v>
                </c:pt>
                <c:pt idx="56">
                  <c:v>2012</c:v>
                </c:pt>
                <c:pt idx="60">
                  <c:v>2013</c:v>
                </c:pt>
                <c:pt idx="64">
                  <c:v>2014</c:v>
                </c:pt>
                <c:pt idx="68">
                  <c:v>2015</c:v>
                </c:pt>
                <c:pt idx="72">
                  <c:v>2016</c:v>
                </c:pt>
                <c:pt idx="76">
                  <c:v>2017</c:v>
                </c:pt>
                <c:pt idx="80">
                  <c:v>2018</c:v>
                </c:pt>
                <c:pt idx="84">
                  <c:v>2019</c:v>
                </c:pt>
                <c:pt idx="88">
                  <c:v>2020</c:v>
                </c:pt>
                <c:pt idx="92">
                  <c:v>2021</c:v>
                </c:pt>
                <c:pt idx="96">
                  <c:v>2022</c:v>
                </c:pt>
                <c:pt idx="100">
                  <c:v>2023</c:v>
                </c:pt>
              </c:numCache>
            </c:numRef>
          </c:cat>
          <c:val>
            <c:numRef>
              <c:f>'Table 4new'!$C$13:$DB$13</c:f>
              <c:numCache>
                <c:formatCode>0.0</c:formatCode>
                <c:ptCount val="104"/>
                <c:pt idx="0">
                  <c:v>79.7</c:v>
                </c:pt>
                <c:pt idx="1">
                  <c:v>81.5</c:v>
                </c:pt>
                <c:pt idx="2">
                  <c:v>79.3</c:v>
                </c:pt>
                <c:pt idx="3">
                  <c:v>80.900000000000006</c:v>
                </c:pt>
                <c:pt idx="4">
                  <c:v>81</c:v>
                </c:pt>
                <c:pt idx="5">
                  <c:v>81.599999999999994</c:v>
                </c:pt>
                <c:pt idx="6">
                  <c:v>77.7</c:v>
                </c:pt>
                <c:pt idx="7">
                  <c:v>79.599999999999994</c:v>
                </c:pt>
                <c:pt idx="8">
                  <c:v>83.3</c:v>
                </c:pt>
                <c:pt idx="9">
                  <c:v>84.6</c:v>
                </c:pt>
                <c:pt idx="10">
                  <c:v>86.7</c:v>
                </c:pt>
                <c:pt idx="11">
                  <c:v>85.8</c:v>
                </c:pt>
                <c:pt idx="12">
                  <c:v>87</c:v>
                </c:pt>
                <c:pt idx="13">
                  <c:v>84.8</c:v>
                </c:pt>
                <c:pt idx="14">
                  <c:v>87.4</c:v>
                </c:pt>
                <c:pt idx="15">
                  <c:v>86.3</c:v>
                </c:pt>
                <c:pt idx="16">
                  <c:v>84.1</c:v>
                </c:pt>
                <c:pt idx="17">
                  <c:v>84.5</c:v>
                </c:pt>
                <c:pt idx="18">
                  <c:v>83.1</c:v>
                </c:pt>
                <c:pt idx="19">
                  <c:v>83.9</c:v>
                </c:pt>
                <c:pt idx="20">
                  <c:v>86.8</c:v>
                </c:pt>
                <c:pt idx="21">
                  <c:v>89.9</c:v>
                </c:pt>
                <c:pt idx="22">
                  <c:v>92</c:v>
                </c:pt>
                <c:pt idx="23">
                  <c:v>85.8</c:v>
                </c:pt>
                <c:pt idx="24">
                  <c:v>86.9</c:v>
                </c:pt>
                <c:pt idx="25">
                  <c:v>87.7</c:v>
                </c:pt>
                <c:pt idx="26">
                  <c:v>90</c:v>
                </c:pt>
                <c:pt idx="27">
                  <c:v>94.1</c:v>
                </c:pt>
                <c:pt idx="28">
                  <c:v>93.9</c:v>
                </c:pt>
                <c:pt idx="29">
                  <c:v>93.2</c:v>
                </c:pt>
                <c:pt idx="30">
                  <c:v>91.7</c:v>
                </c:pt>
                <c:pt idx="31">
                  <c:v>91.2</c:v>
                </c:pt>
                <c:pt idx="32">
                  <c:v>92.1</c:v>
                </c:pt>
                <c:pt idx="33">
                  <c:v>90.3</c:v>
                </c:pt>
                <c:pt idx="34">
                  <c:v>87.3</c:v>
                </c:pt>
                <c:pt idx="35">
                  <c:v>86</c:v>
                </c:pt>
                <c:pt idx="36">
                  <c:v>85.9</c:v>
                </c:pt>
                <c:pt idx="37">
                  <c:v>86.6</c:v>
                </c:pt>
                <c:pt idx="38">
                  <c:v>85.5</c:v>
                </c:pt>
                <c:pt idx="39">
                  <c:v>89</c:v>
                </c:pt>
                <c:pt idx="40">
                  <c:v>88.5</c:v>
                </c:pt>
                <c:pt idx="41">
                  <c:v>86.3</c:v>
                </c:pt>
                <c:pt idx="42">
                  <c:v>86.7</c:v>
                </c:pt>
                <c:pt idx="43">
                  <c:v>82.3</c:v>
                </c:pt>
                <c:pt idx="44">
                  <c:v>80.2</c:v>
                </c:pt>
                <c:pt idx="45">
                  <c:v>79.2</c:v>
                </c:pt>
                <c:pt idx="46">
                  <c:v>78.8</c:v>
                </c:pt>
                <c:pt idx="47">
                  <c:v>78</c:v>
                </c:pt>
                <c:pt idx="48">
                  <c:v>76.8</c:v>
                </c:pt>
                <c:pt idx="49">
                  <c:v>80.3</c:v>
                </c:pt>
                <c:pt idx="50">
                  <c:v>80</c:v>
                </c:pt>
                <c:pt idx="51">
                  <c:v>79.900000000000006</c:v>
                </c:pt>
                <c:pt idx="52">
                  <c:v>78</c:v>
                </c:pt>
                <c:pt idx="53">
                  <c:v>79.5</c:v>
                </c:pt>
                <c:pt idx="54">
                  <c:v>79.900000000000006</c:v>
                </c:pt>
                <c:pt idx="55">
                  <c:v>78.8</c:v>
                </c:pt>
                <c:pt idx="56">
                  <c:v>82</c:v>
                </c:pt>
                <c:pt idx="57">
                  <c:v>79.2</c:v>
                </c:pt>
                <c:pt idx="58">
                  <c:v>76</c:v>
                </c:pt>
                <c:pt idx="59">
                  <c:v>78.5</c:v>
                </c:pt>
                <c:pt idx="60">
                  <c:v>77.2</c:v>
                </c:pt>
                <c:pt idx="61">
                  <c:v>76.7</c:v>
                </c:pt>
                <c:pt idx="62">
                  <c:v>79.8</c:v>
                </c:pt>
                <c:pt idx="63">
                  <c:v>79.7</c:v>
                </c:pt>
                <c:pt idx="64">
                  <c:v>80.5</c:v>
                </c:pt>
                <c:pt idx="65">
                  <c:v>81.400000000000006</c:v>
                </c:pt>
                <c:pt idx="66">
                  <c:v>81.599999999999994</c:v>
                </c:pt>
                <c:pt idx="67">
                  <c:v>85.8</c:v>
                </c:pt>
                <c:pt idx="68">
                  <c:v>84.2</c:v>
                </c:pt>
                <c:pt idx="69">
                  <c:v>84.2</c:v>
                </c:pt>
                <c:pt idx="70">
                  <c:v>85.1</c:v>
                </c:pt>
                <c:pt idx="71">
                  <c:v>86.4</c:v>
                </c:pt>
                <c:pt idx="72">
                  <c:v>89.3</c:v>
                </c:pt>
                <c:pt idx="73">
                  <c:v>87.9</c:v>
                </c:pt>
                <c:pt idx="74">
                  <c:v>90.2</c:v>
                </c:pt>
                <c:pt idx="75">
                  <c:v>88.3</c:v>
                </c:pt>
                <c:pt idx="76">
                  <c:v>91.9</c:v>
                </c:pt>
                <c:pt idx="77">
                  <c:v>96.5</c:v>
                </c:pt>
                <c:pt idx="78">
                  <c:v>93.6</c:v>
                </c:pt>
                <c:pt idx="79">
                  <c:v>97.6</c:v>
                </c:pt>
                <c:pt idx="80">
                  <c:v>98.1</c:v>
                </c:pt>
                <c:pt idx="81">
                  <c:v>97.5</c:v>
                </c:pt>
                <c:pt idx="82">
                  <c:v>101</c:v>
                </c:pt>
                <c:pt idx="83">
                  <c:v>100.9</c:v>
                </c:pt>
                <c:pt idx="84">
                  <c:v>97.3</c:v>
                </c:pt>
                <c:pt idx="85">
                  <c:v>101.6</c:v>
                </c:pt>
                <c:pt idx="86">
                  <c:v>103.4</c:v>
                </c:pt>
                <c:pt idx="87">
                  <c:v>97.8</c:v>
                </c:pt>
                <c:pt idx="88">
                  <c:v>98</c:v>
                </c:pt>
                <c:pt idx="89">
                  <c:v>80.8</c:v>
                </c:pt>
                <c:pt idx="90">
                  <c:v>88.4</c:v>
                </c:pt>
                <c:pt idx="91">
                  <c:v>90.6</c:v>
                </c:pt>
                <c:pt idx="92">
                  <c:v>93.3</c:v>
                </c:pt>
                <c:pt idx="93">
                  <c:v>95.3</c:v>
                </c:pt>
                <c:pt idx="94">
                  <c:v>100.3</c:v>
                </c:pt>
                <c:pt idx="95">
                  <c:v>104.9</c:v>
                </c:pt>
                <c:pt idx="96">
                  <c:v>106</c:v>
                </c:pt>
                <c:pt idx="97">
                  <c:v>109.2</c:v>
                </c:pt>
                <c:pt idx="98">
                  <c:v>107.6</c:v>
                </c:pt>
                <c:pt idx="99">
                  <c:v>110.2</c:v>
                </c:pt>
                <c:pt idx="100">
                  <c:v>110.7</c:v>
                </c:pt>
                <c:pt idx="101">
                  <c:v>108.3</c:v>
                </c:pt>
                <c:pt idx="102">
                  <c:v>108.3</c:v>
                </c:pt>
                <c:pt idx="103">
                  <c:v>108</c:v>
                </c:pt>
              </c:numCache>
            </c:numRef>
          </c:val>
          <c:smooth val="0"/>
          <c:extLst>
            <c:ext xmlns:c16="http://schemas.microsoft.com/office/drawing/2014/chart" uri="{C3380CC4-5D6E-409C-BE32-E72D297353CC}">
              <c16:uniqueId val="{00000001-C934-4534-BF4B-B03D5FD19832}"/>
            </c:ext>
          </c:extLst>
        </c:ser>
        <c:dLbls>
          <c:showLegendKey val="0"/>
          <c:showVal val="0"/>
          <c:showCatName val="0"/>
          <c:showSerName val="0"/>
          <c:showPercent val="0"/>
          <c:showBubbleSize val="0"/>
        </c:dLbls>
        <c:smooth val="0"/>
        <c:axId val="598340280"/>
        <c:axId val="730896784"/>
      </c:lineChart>
      <c:catAx>
        <c:axId val="59834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30896784"/>
        <c:crosses val="autoZero"/>
        <c:auto val="1"/>
        <c:lblAlgn val="ctr"/>
        <c:lblOffset val="100"/>
        <c:noMultiLvlLbl val="0"/>
      </c:catAx>
      <c:valAx>
        <c:axId val="730896784"/>
        <c:scaling>
          <c:orientation val="minMax"/>
          <c:min val="4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GDP Index (2019= 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983402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EB12-6119-46DE-8C54-A5C3D14D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Growth Sector Briefing - Creative Industries</vt:lpstr>
    </vt:vector>
  </TitlesOfParts>
  <Company>Scottish Government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Sector Briefing - Creative Industries</dc:title>
  <dc:creator>Office of the Chief Economic Adviser</dc:creator>
  <cp:lastModifiedBy>Marina Curran</cp:lastModifiedBy>
  <cp:revision>87</cp:revision>
  <dcterms:created xsi:type="dcterms:W3CDTF">2020-12-02T09:02:00Z</dcterms:created>
  <dcterms:modified xsi:type="dcterms:W3CDTF">2024-03-11T10:55:00Z</dcterms:modified>
</cp:coreProperties>
</file>