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ms-word.keyMapCustomizations+xml" PartName="/word/customizations.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6308735" w14:textId="77777777" w:rsidR="00A03248" w:rsidRDefault="00A03248" w:rsidP="00402D02">
      <w:pPr>
        <w:pStyle w:val="SGBodytext"/>
      </w:pPr>
      <w:bookmarkStart w:id="0" w:name="_GoBack"/>
      <w:bookmarkEnd w:id="0"/>
    </w:p>
    <w:p w14:paraId="1EBFF1AB" w14:textId="77777777" w:rsidR="00A03248" w:rsidRDefault="00A03248" w:rsidP="00402D02">
      <w:pPr>
        <w:pStyle w:val="SGBodytext"/>
      </w:pPr>
    </w:p>
    <w:p w14:paraId="44A6F8CC" w14:textId="77777777" w:rsidR="00A03248" w:rsidRDefault="00A03248" w:rsidP="00402D02">
      <w:pPr>
        <w:pStyle w:val="SGBodytext"/>
      </w:pPr>
    </w:p>
    <w:p w14:paraId="54A3957B" w14:textId="77777777" w:rsidR="00A03248" w:rsidRDefault="00A03248" w:rsidP="00402D02">
      <w:pPr>
        <w:pStyle w:val="SGBodytext"/>
      </w:pPr>
    </w:p>
    <w:p w14:paraId="22AA74B0" w14:textId="77777777" w:rsidR="00A03248" w:rsidRPr="00311904" w:rsidRDefault="00A03248" w:rsidP="00402D02">
      <w:pPr>
        <w:pStyle w:val="SGBodytext"/>
      </w:pPr>
      <w:r w:rsidRPr="00311904">
        <w:t xml:space="preserve">International </w:t>
      </w:r>
      <w:r w:rsidR="00311904" w:rsidRPr="00311904">
        <w:t xml:space="preserve">Review of </w:t>
      </w:r>
      <w:r w:rsidRPr="00311904">
        <w:t>Custodial Models for Women: Key Messages for Scotland</w:t>
      </w:r>
    </w:p>
    <w:p w14:paraId="004B5816" w14:textId="77777777" w:rsidR="00311904" w:rsidRPr="00311904" w:rsidRDefault="00311904" w:rsidP="00402D02">
      <w:pPr>
        <w:pStyle w:val="SGBodytext"/>
      </w:pPr>
    </w:p>
    <w:p w14:paraId="657EF6CB" w14:textId="77777777" w:rsidR="00311904" w:rsidRPr="00311904" w:rsidRDefault="00311904" w:rsidP="00402D02">
      <w:pPr>
        <w:pStyle w:val="SGBodytext"/>
      </w:pPr>
    </w:p>
    <w:p w14:paraId="52CEA96E" w14:textId="77777777" w:rsidR="00311904" w:rsidRPr="00311904" w:rsidRDefault="00311904" w:rsidP="00402D02">
      <w:pPr>
        <w:pStyle w:val="SGBodytext"/>
      </w:pPr>
    </w:p>
    <w:p w14:paraId="5D46C776" w14:textId="77777777" w:rsidR="00311904" w:rsidRPr="00311904" w:rsidRDefault="00311904" w:rsidP="00402D02">
      <w:pPr>
        <w:pStyle w:val="SGBodytext"/>
      </w:pPr>
    </w:p>
    <w:p w14:paraId="7F5EE649" w14:textId="77777777" w:rsidR="00311904" w:rsidRPr="00311904" w:rsidRDefault="00311904" w:rsidP="00402D02">
      <w:pPr>
        <w:pStyle w:val="SGBodytext"/>
      </w:pPr>
    </w:p>
    <w:p w14:paraId="76B5785A" w14:textId="77777777" w:rsidR="00311904" w:rsidRPr="00311904" w:rsidRDefault="00311904" w:rsidP="00402D02">
      <w:pPr>
        <w:pStyle w:val="SGBodytext"/>
      </w:pPr>
    </w:p>
    <w:p w14:paraId="2AD6FC06" w14:textId="77777777" w:rsidR="00311904" w:rsidRPr="00311904" w:rsidRDefault="00311904" w:rsidP="00402D02">
      <w:pPr>
        <w:pStyle w:val="SGBodytext"/>
      </w:pPr>
    </w:p>
    <w:p w14:paraId="148F383E" w14:textId="77777777" w:rsidR="00311904" w:rsidRPr="00311904" w:rsidRDefault="00311904" w:rsidP="00402D02">
      <w:pPr>
        <w:pStyle w:val="SGBodytext"/>
      </w:pPr>
    </w:p>
    <w:p w14:paraId="556D4FA1" w14:textId="77777777" w:rsidR="00311904" w:rsidRPr="00311904" w:rsidRDefault="00311904" w:rsidP="00402D02">
      <w:pPr>
        <w:pStyle w:val="SGBodytext"/>
      </w:pPr>
    </w:p>
    <w:p w14:paraId="5D94BAAA" w14:textId="77777777" w:rsidR="00311904" w:rsidRDefault="00311904" w:rsidP="00402D02">
      <w:pPr>
        <w:pStyle w:val="SGBodytext"/>
      </w:pPr>
      <w:r>
        <w:t>Tamsyn L. Wilson</w:t>
      </w:r>
    </w:p>
    <w:p w14:paraId="2DC9EA2B" w14:textId="77777777" w:rsidR="00311904" w:rsidRDefault="00311904" w:rsidP="00402D02">
      <w:pPr>
        <w:pStyle w:val="SGBodytext"/>
      </w:pPr>
      <w:r>
        <w:t>Justice Analytical Services</w:t>
      </w:r>
    </w:p>
    <w:p w14:paraId="3629485E" w14:textId="77777777" w:rsidR="00311904" w:rsidRDefault="00311904" w:rsidP="00402D02">
      <w:pPr>
        <w:pStyle w:val="SGBodytext"/>
      </w:pPr>
      <w:r>
        <w:t>Scottish Government</w:t>
      </w:r>
    </w:p>
    <w:p w14:paraId="68CA0255" w14:textId="77777777" w:rsidR="00311904" w:rsidRDefault="00311904" w:rsidP="00402D02">
      <w:pPr>
        <w:pStyle w:val="SGBodytext"/>
      </w:pPr>
    </w:p>
    <w:p w14:paraId="28C85BF5" w14:textId="77777777" w:rsidR="00311904" w:rsidRDefault="00311904" w:rsidP="00402D02">
      <w:pPr>
        <w:pStyle w:val="SGBodytext"/>
      </w:pPr>
    </w:p>
    <w:p w14:paraId="297CA11E" w14:textId="77777777" w:rsidR="00311904" w:rsidRDefault="00311904" w:rsidP="00402D02">
      <w:pPr>
        <w:pStyle w:val="SGBodytext"/>
      </w:pPr>
    </w:p>
    <w:p w14:paraId="2D3DD0F2" w14:textId="77777777" w:rsidR="00311904" w:rsidRDefault="00311904" w:rsidP="00402D02">
      <w:pPr>
        <w:pStyle w:val="SGBodytext"/>
      </w:pPr>
    </w:p>
    <w:p w14:paraId="37858D9C" w14:textId="77777777" w:rsidR="00311904" w:rsidRDefault="00311904" w:rsidP="00402D02">
      <w:pPr>
        <w:pStyle w:val="SGBodytext"/>
      </w:pPr>
    </w:p>
    <w:p w14:paraId="19966E45" w14:textId="77777777" w:rsidR="00311904" w:rsidRDefault="00311904" w:rsidP="00402D02">
      <w:pPr>
        <w:pStyle w:val="SGBodytext"/>
      </w:pPr>
    </w:p>
    <w:p w14:paraId="3B110351" w14:textId="77777777" w:rsidR="00311904" w:rsidRDefault="00311904" w:rsidP="00402D02">
      <w:pPr>
        <w:pStyle w:val="SGBodytext"/>
      </w:pPr>
      <w:r>
        <w:t>Scottish Government Social Research</w:t>
      </w:r>
    </w:p>
    <w:p w14:paraId="16B90163" w14:textId="77777777" w:rsidR="00311904" w:rsidRDefault="00311904" w:rsidP="00402D02">
      <w:pPr>
        <w:pStyle w:val="SGBodytext"/>
      </w:pPr>
      <w:r>
        <w:t>2015</w:t>
      </w:r>
    </w:p>
    <w:p w14:paraId="5276E6F7" w14:textId="77777777" w:rsidR="00A03248" w:rsidRDefault="00A03248" w:rsidP="00402D02">
      <w:pPr>
        <w:pStyle w:val="SGBodytext"/>
      </w:pPr>
    </w:p>
    <w:p w14:paraId="36876DD1" w14:textId="77777777" w:rsidR="00A03248" w:rsidRDefault="00A03248" w:rsidP="00402D02">
      <w:pPr>
        <w:pStyle w:val="SGBodytext"/>
      </w:pPr>
    </w:p>
    <w:p w14:paraId="048CCDD6" w14:textId="77777777" w:rsidR="00A03248" w:rsidRDefault="00A03248" w:rsidP="00402D02">
      <w:pPr>
        <w:pStyle w:val="SGBodytext"/>
      </w:pPr>
    </w:p>
    <w:p w14:paraId="28C1353A" w14:textId="77777777" w:rsidR="00B051EC" w:rsidRPr="00072B27" w:rsidRDefault="00072B27">
      <w:pPr>
        <w:tabs>
          <w:tab w:val="clear" w:pos="720"/>
          <w:tab w:val="clear" w:pos="1440"/>
          <w:tab w:val="clear" w:pos="2160"/>
          <w:tab w:val="clear" w:pos="2880"/>
          <w:tab w:val="clear" w:pos="4680"/>
          <w:tab w:val="clear" w:pos="5400"/>
          <w:tab w:val="clear" w:pos="9000"/>
        </w:tabs>
        <w:spacing w:line="240" w:lineRule="auto"/>
        <w:rPr>
          <w:rFonts w:eastAsia="Times New Roman"/>
          <w:b/>
          <w:noProof/>
          <w:color w:val="17365D" w:themeColor="text2" w:themeShade="BF"/>
          <w:sz w:val="44"/>
          <w:szCs w:val="44"/>
        </w:rPr>
      </w:pPr>
      <w:r w:rsidRPr="00072B27">
        <w:rPr>
          <w:rFonts w:eastAsia="Times New Roman"/>
          <w:b/>
          <w:noProof/>
          <w:color w:val="17365D" w:themeColor="text2" w:themeShade="BF"/>
          <w:sz w:val="44"/>
          <w:szCs w:val="44"/>
        </w:rPr>
        <w:t>Contents</w:t>
      </w:r>
    </w:p>
    <w:p w14:paraId="1723CB8A" w14:textId="77777777" w:rsidR="00072B27" w:rsidRDefault="00072B27">
      <w:pPr>
        <w:tabs>
          <w:tab w:val="clear" w:pos="720"/>
          <w:tab w:val="clear" w:pos="1440"/>
          <w:tab w:val="clear" w:pos="2160"/>
          <w:tab w:val="clear" w:pos="2880"/>
          <w:tab w:val="clear" w:pos="4680"/>
          <w:tab w:val="clear" w:pos="5400"/>
          <w:tab w:val="clear" w:pos="9000"/>
        </w:tabs>
        <w:spacing w:line="240" w:lineRule="auto"/>
        <w:rPr>
          <w:rFonts w:eastAsia="Times New Roman"/>
          <w:noProof/>
        </w:rPr>
      </w:pPr>
    </w:p>
    <w:sdt>
      <w:sdtPr>
        <w:rPr>
          <w:b w:val="0"/>
          <w:bCs/>
        </w:rPr>
        <w:id w:val="1409188306"/>
        <w:docPartObj>
          <w:docPartGallery w:val="Table of Contents"/>
          <w:docPartUnique/>
        </w:docPartObj>
      </w:sdtPr>
      <w:sdtEndPr>
        <w:rPr>
          <w:b/>
          <w:bCs w:val="0"/>
        </w:rPr>
      </w:sdtEndPr>
      <w:sdtContent>
        <w:p w14:paraId="53441BF6" w14:textId="77777777" w:rsidR="009049E1" w:rsidRDefault="00A03248">
          <w:pPr>
            <w:pStyle w:val="TOC1"/>
            <w:tabs>
              <w:tab w:val="left" w:pos="567"/>
            </w:tabs>
            <w:rPr>
              <w:rFonts w:asciiTheme="minorHAnsi" w:eastAsiaTheme="minorEastAsia" w:hAnsiTheme="minorHAnsi" w:cstheme="minorBidi"/>
              <w:b w:val="0"/>
              <w:sz w:val="22"/>
              <w:szCs w:val="22"/>
              <w:lang w:eastAsia="en-GB"/>
            </w:rPr>
          </w:pPr>
          <w:r>
            <w:fldChar w:fldCharType="begin"/>
          </w:r>
          <w:r>
            <w:instrText xml:space="preserve"> TOC \o "1-2" \h \z \u </w:instrText>
          </w:r>
          <w:r>
            <w:fldChar w:fldCharType="separate"/>
          </w:r>
          <w:hyperlink w:anchor="_Toc429555794" w:history="1">
            <w:r w:rsidR="009049E1" w:rsidRPr="00673B70">
              <w:rPr>
                <w:rStyle w:val="Hyperlink"/>
                <w:rFonts w:eastAsiaTheme="majorEastAsia"/>
                <w:lang w:eastAsia="en-GB"/>
              </w:rPr>
              <w:t>1.</w:t>
            </w:r>
            <w:r w:rsidR="009049E1">
              <w:rPr>
                <w:rFonts w:asciiTheme="minorHAnsi" w:eastAsiaTheme="minorEastAsia" w:hAnsiTheme="minorHAnsi" w:cstheme="minorBidi"/>
                <w:b w:val="0"/>
                <w:sz w:val="22"/>
                <w:szCs w:val="22"/>
                <w:lang w:eastAsia="en-GB"/>
              </w:rPr>
              <w:tab/>
            </w:r>
            <w:r w:rsidR="009049E1" w:rsidRPr="00673B70">
              <w:rPr>
                <w:rStyle w:val="Hyperlink"/>
                <w:rFonts w:eastAsiaTheme="majorEastAsia"/>
                <w:lang w:eastAsia="en-GB"/>
              </w:rPr>
              <w:t>Main Messages</w:t>
            </w:r>
            <w:r w:rsidR="009049E1">
              <w:rPr>
                <w:webHidden/>
              </w:rPr>
              <w:tab/>
            </w:r>
            <w:r w:rsidR="009049E1">
              <w:rPr>
                <w:webHidden/>
              </w:rPr>
              <w:fldChar w:fldCharType="begin"/>
            </w:r>
            <w:r w:rsidR="009049E1">
              <w:rPr>
                <w:webHidden/>
              </w:rPr>
              <w:instrText xml:space="preserve"> PAGEREF _Toc429555794 \h </w:instrText>
            </w:r>
            <w:r w:rsidR="009049E1">
              <w:rPr>
                <w:webHidden/>
              </w:rPr>
            </w:r>
            <w:r w:rsidR="009049E1">
              <w:rPr>
                <w:webHidden/>
              </w:rPr>
              <w:fldChar w:fldCharType="separate"/>
            </w:r>
            <w:r w:rsidR="00246821">
              <w:rPr>
                <w:webHidden/>
              </w:rPr>
              <w:t>4</w:t>
            </w:r>
            <w:r w:rsidR="009049E1">
              <w:rPr>
                <w:webHidden/>
              </w:rPr>
              <w:fldChar w:fldCharType="end"/>
            </w:r>
          </w:hyperlink>
        </w:p>
        <w:p w14:paraId="76F19A5C" w14:textId="77777777" w:rsidR="009049E1" w:rsidRDefault="00246821">
          <w:pPr>
            <w:pStyle w:val="TOC1"/>
            <w:tabs>
              <w:tab w:val="left" w:pos="567"/>
            </w:tabs>
            <w:rPr>
              <w:rFonts w:asciiTheme="minorHAnsi" w:eastAsiaTheme="minorEastAsia" w:hAnsiTheme="minorHAnsi" w:cstheme="minorBidi"/>
              <w:b w:val="0"/>
              <w:sz w:val="22"/>
              <w:szCs w:val="22"/>
              <w:lang w:eastAsia="en-GB"/>
            </w:rPr>
          </w:pPr>
          <w:hyperlink w:anchor="_Toc429555795" w:history="1">
            <w:r w:rsidR="009049E1" w:rsidRPr="00673B70">
              <w:rPr>
                <w:rStyle w:val="Hyperlink"/>
              </w:rPr>
              <w:t>2.</w:t>
            </w:r>
            <w:r w:rsidR="009049E1">
              <w:rPr>
                <w:rFonts w:asciiTheme="minorHAnsi" w:eastAsiaTheme="minorEastAsia" w:hAnsiTheme="minorHAnsi" w:cstheme="minorBidi"/>
                <w:b w:val="0"/>
                <w:sz w:val="22"/>
                <w:szCs w:val="22"/>
                <w:lang w:eastAsia="en-GB"/>
              </w:rPr>
              <w:tab/>
            </w:r>
            <w:r w:rsidR="009049E1" w:rsidRPr="00673B70">
              <w:rPr>
                <w:rStyle w:val="Hyperlink"/>
              </w:rPr>
              <w:t>Executive Summary</w:t>
            </w:r>
            <w:r w:rsidR="009049E1">
              <w:rPr>
                <w:webHidden/>
              </w:rPr>
              <w:tab/>
            </w:r>
            <w:r w:rsidR="009049E1">
              <w:rPr>
                <w:webHidden/>
              </w:rPr>
              <w:fldChar w:fldCharType="begin"/>
            </w:r>
            <w:r w:rsidR="009049E1">
              <w:rPr>
                <w:webHidden/>
              </w:rPr>
              <w:instrText xml:space="preserve"> PAGEREF _Toc429555795 \h </w:instrText>
            </w:r>
            <w:r w:rsidR="009049E1">
              <w:rPr>
                <w:webHidden/>
              </w:rPr>
            </w:r>
            <w:r w:rsidR="009049E1">
              <w:rPr>
                <w:webHidden/>
              </w:rPr>
              <w:fldChar w:fldCharType="separate"/>
            </w:r>
            <w:r>
              <w:rPr>
                <w:webHidden/>
              </w:rPr>
              <w:t>5</w:t>
            </w:r>
            <w:r w:rsidR="009049E1">
              <w:rPr>
                <w:webHidden/>
              </w:rPr>
              <w:fldChar w:fldCharType="end"/>
            </w:r>
          </w:hyperlink>
        </w:p>
        <w:p w14:paraId="2DBBAE23" w14:textId="77777777" w:rsidR="009049E1" w:rsidRDefault="00246821">
          <w:pPr>
            <w:pStyle w:val="TOC1"/>
            <w:tabs>
              <w:tab w:val="left" w:pos="567"/>
            </w:tabs>
            <w:rPr>
              <w:rFonts w:asciiTheme="minorHAnsi" w:eastAsiaTheme="minorEastAsia" w:hAnsiTheme="minorHAnsi" w:cstheme="minorBidi"/>
              <w:b w:val="0"/>
              <w:sz w:val="22"/>
              <w:szCs w:val="22"/>
              <w:lang w:eastAsia="en-GB"/>
            </w:rPr>
          </w:pPr>
          <w:hyperlink w:anchor="_Toc429555796" w:history="1">
            <w:r w:rsidR="009049E1" w:rsidRPr="00673B70">
              <w:rPr>
                <w:rStyle w:val="Hyperlink"/>
                <w:rFonts w:eastAsiaTheme="majorEastAsia"/>
                <w:lang w:eastAsia="en-GB"/>
              </w:rPr>
              <w:t>3.</w:t>
            </w:r>
            <w:r w:rsidR="009049E1">
              <w:rPr>
                <w:rFonts w:asciiTheme="minorHAnsi" w:eastAsiaTheme="minorEastAsia" w:hAnsiTheme="minorHAnsi" w:cstheme="minorBidi"/>
                <w:b w:val="0"/>
                <w:sz w:val="22"/>
                <w:szCs w:val="22"/>
                <w:lang w:eastAsia="en-GB"/>
              </w:rPr>
              <w:tab/>
            </w:r>
            <w:r w:rsidR="009049E1" w:rsidRPr="00673B70">
              <w:rPr>
                <w:rStyle w:val="Hyperlink"/>
                <w:rFonts w:eastAsiaTheme="majorEastAsia"/>
                <w:lang w:eastAsia="en-GB"/>
              </w:rPr>
              <w:t>Purpose and Scope</w:t>
            </w:r>
            <w:r w:rsidR="009049E1">
              <w:rPr>
                <w:webHidden/>
              </w:rPr>
              <w:tab/>
            </w:r>
            <w:r w:rsidR="009049E1">
              <w:rPr>
                <w:webHidden/>
              </w:rPr>
              <w:fldChar w:fldCharType="begin"/>
            </w:r>
            <w:r w:rsidR="009049E1">
              <w:rPr>
                <w:webHidden/>
              </w:rPr>
              <w:instrText xml:space="preserve"> PAGEREF _Toc429555796 \h </w:instrText>
            </w:r>
            <w:r w:rsidR="009049E1">
              <w:rPr>
                <w:webHidden/>
              </w:rPr>
            </w:r>
            <w:r w:rsidR="009049E1">
              <w:rPr>
                <w:webHidden/>
              </w:rPr>
              <w:fldChar w:fldCharType="separate"/>
            </w:r>
            <w:r>
              <w:rPr>
                <w:webHidden/>
              </w:rPr>
              <w:t>9</w:t>
            </w:r>
            <w:r w:rsidR="009049E1">
              <w:rPr>
                <w:webHidden/>
              </w:rPr>
              <w:fldChar w:fldCharType="end"/>
            </w:r>
          </w:hyperlink>
        </w:p>
        <w:p w14:paraId="14145227" w14:textId="77777777" w:rsidR="009049E1" w:rsidRDefault="00246821">
          <w:pPr>
            <w:pStyle w:val="TOC2"/>
            <w:rPr>
              <w:rFonts w:asciiTheme="minorHAnsi" w:eastAsiaTheme="minorEastAsia" w:hAnsiTheme="minorHAnsi" w:cstheme="minorBidi"/>
              <w:noProof/>
              <w:sz w:val="22"/>
              <w:szCs w:val="22"/>
              <w:lang w:eastAsia="en-GB"/>
            </w:rPr>
          </w:pPr>
          <w:hyperlink w:anchor="_Toc429555797" w:history="1">
            <w:r w:rsidR="009049E1" w:rsidRPr="00673B70">
              <w:rPr>
                <w:rStyle w:val="Hyperlink"/>
                <w:rFonts w:eastAsiaTheme="majorEastAsia"/>
                <w:noProof/>
              </w:rPr>
              <w:t>Contents of this report</w:t>
            </w:r>
            <w:r w:rsidR="009049E1">
              <w:rPr>
                <w:noProof/>
                <w:webHidden/>
              </w:rPr>
              <w:tab/>
            </w:r>
            <w:r w:rsidR="009049E1">
              <w:rPr>
                <w:noProof/>
                <w:webHidden/>
              </w:rPr>
              <w:fldChar w:fldCharType="begin"/>
            </w:r>
            <w:r w:rsidR="009049E1">
              <w:rPr>
                <w:noProof/>
                <w:webHidden/>
              </w:rPr>
              <w:instrText xml:space="preserve"> PAGEREF _Toc429555797 \h </w:instrText>
            </w:r>
            <w:r w:rsidR="009049E1">
              <w:rPr>
                <w:noProof/>
                <w:webHidden/>
              </w:rPr>
            </w:r>
            <w:r w:rsidR="009049E1">
              <w:rPr>
                <w:noProof/>
                <w:webHidden/>
              </w:rPr>
              <w:fldChar w:fldCharType="separate"/>
            </w:r>
            <w:r>
              <w:rPr>
                <w:noProof/>
                <w:webHidden/>
              </w:rPr>
              <w:t>10</w:t>
            </w:r>
            <w:r w:rsidR="009049E1">
              <w:rPr>
                <w:noProof/>
                <w:webHidden/>
              </w:rPr>
              <w:fldChar w:fldCharType="end"/>
            </w:r>
          </w:hyperlink>
        </w:p>
        <w:p w14:paraId="6AA0690C" w14:textId="77777777" w:rsidR="009049E1" w:rsidRDefault="00246821">
          <w:pPr>
            <w:pStyle w:val="TOC1"/>
            <w:tabs>
              <w:tab w:val="left" w:pos="567"/>
            </w:tabs>
            <w:rPr>
              <w:rFonts w:asciiTheme="minorHAnsi" w:eastAsiaTheme="minorEastAsia" w:hAnsiTheme="minorHAnsi" w:cstheme="minorBidi"/>
              <w:b w:val="0"/>
              <w:sz w:val="22"/>
              <w:szCs w:val="22"/>
              <w:lang w:eastAsia="en-GB"/>
            </w:rPr>
          </w:pPr>
          <w:hyperlink w:anchor="_Toc429555798" w:history="1">
            <w:r w:rsidR="009049E1" w:rsidRPr="00673B70">
              <w:rPr>
                <w:rStyle w:val="Hyperlink"/>
                <w:rFonts w:eastAsiaTheme="majorEastAsia"/>
              </w:rPr>
              <w:t>4.</w:t>
            </w:r>
            <w:r w:rsidR="009049E1">
              <w:rPr>
                <w:rFonts w:asciiTheme="minorHAnsi" w:eastAsiaTheme="minorEastAsia" w:hAnsiTheme="minorHAnsi" w:cstheme="minorBidi"/>
                <w:b w:val="0"/>
                <w:sz w:val="22"/>
                <w:szCs w:val="22"/>
                <w:lang w:eastAsia="en-GB"/>
              </w:rPr>
              <w:tab/>
            </w:r>
            <w:r w:rsidR="009049E1" w:rsidRPr="00673B70">
              <w:rPr>
                <w:rStyle w:val="Hyperlink"/>
                <w:rFonts w:eastAsiaTheme="majorEastAsia"/>
              </w:rPr>
              <w:t>Background and Context</w:t>
            </w:r>
            <w:r w:rsidR="009049E1">
              <w:rPr>
                <w:webHidden/>
              </w:rPr>
              <w:tab/>
            </w:r>
            <w:r w:rsidR="009049E1">
              <w:rPr>
                <w:webHidden/>
              </w:rPr>
              <w:fldChar w:fldCharType="begin"/>
            </w:r>
            <w:r w:rsidR="009049E1">
              <w:rPr>
                <w:webHidden/>
              </w:rPr>
              <w:instrText xml:space="preserve"> PAGEREF _Toc429555798 \h </w:instrText>
            </w:r>
            <w:r w:rsidR="009049E1">
              <w:rPr>
                <w:webHidden/>
              </w:rPr>
            </w:r>
            <w:r w:rsidR="009049E1">
              <w:rPr>
                <w:webHidden/>
              </w:rPr>
              <w:fldChar w:fldCharType="separate"/>
            </w:r>
            <w:r>
              <w:rPr>
                <w:webHidden/>
              </w:rPr>
              <w:t>11</w:t>
            </w:r>
            <w:r w:rsidR="009049E1">
              <w:rPr>
                <w:webHidden/>
              </w:rPr>
              <w:fldChar w:fldCharType="end"/>
            </w:r>
          </w:hyperlink>
        </w:p>
        <w:p w14:paraId="26EAEB1F" w14:textId="77777777" w:rsidR="009049E1" w:rsidRDefault="00246821">
          <w:pPr>
            <w:pStyle w:val="TOC2"/>
            <w:rPr>
              <w:rFonts w:asciiTheme="minorHAnsi" w:eastAsiaTheme="minorEastAsia" w:hAnsiTheme="minorHAnsi" w:cstheme="minorBidi"/>
              <w:noProof/>
              <w:sz w:val="22"/>
              <w:szCs w:val="22"/>
              <w:lang w:eastAsia="en-GB"/>
            </w:rPr>
          </w:pPr>
          <w:hyperlink w:anchor="_Toc429555799" w:history="1">
            <w:r w:rsidR="009049E1" w:rsidRPr="00673B70">
              <w:rPr>
                <w:rStyle w:val="Hyperlink"/>
                <w:rFonts w:eastAsiaTheme="majorEastAsia"/>
                <w:noProof/>
              </w:rPr>
              <w:t>An international perspective</w:t>
            </w:r>
            <w:r w:rsidR="009049E1">
              <w:rPr>
                <w:noProof/>
                <w:webHidden/>
              </w:rPr>
              <w:tab/>
            </w:r>
            <w:r w:rsidR="009049E1">
              <w:rPr>
                <w:noProof/>
                <w:webHidden/>
              </w:rPr>
              <w:fldChar w:fldCharType="begin"/>
            </w:r>
            <w:r w:rsidR="009049E1">
              <w:rPr>
                <w:noProof/>
                <w:webHidden/>
              </w:rPr>
              <w:instrText xml:space="preserve"> PAGEREF _Toc429555799 \h </w:instrText>
            </w:r>
            <w:r w:rsidR="009049E1">
              <w:rPr>
                <w:noProof/>
                <w:webHidden/>
              </w:rPr>
            </w:r>
            <w:r w:rsidR="009049E1">
              <w:rPr>
                <w:noProof/>
                <w:webHidden/>
              </w:rPr>
              <w:fldChar w:fldCharType="separate"/>
            </w:r>
            <w:r>
              <w:rPr>
                <w:noProof/>
                <w:webHidden/>
              </w:rPr>
              <w:t>11</w:t>
            </w:r>
            <w:r w:rsidR="009049E1">
              <w:rPr>
                <w:noProof/>
                <w:webHidden/>
              </w:rPr>
              <w:fldChar w:fldCharType="end"/>
            </w:r>
          </w:hyperlink>
        </w:p>
        <w:p w14:paraId="1D4ABE1C" w14:textId="77777777" w:rsidR="009049E1" w:rsidRDefault="00246821">
          <w:pPr>
            <w:pStyle w:val="TOC2"/>
            <w:rPr>
              <w:rFonts w:asciiTheme="minorHAnsi" w:eastAsiaTheme="minorEastAsia" w:hAnsiTheme="minorHAnsi" w:cstheme="minorBidi"/>
              <w:noProof/>
              <w:sz w:val="22"/>
              <w:szCs w:val="22"/>
              <w:lang w:eastAsia="en-GB"/>
            </w:rPr>
          </w:pPr>
          <w:hyperlink w:anchor="_Toc429555800" w:history="1">
            <w:r w:rsidR="009049E1" w:rsidRPr="00673B70">
              <w:rPr>
                <w:rStyle w:val="Hyperlink"/>
                <w:rFonts w:eastAsiaTheme="majorEastAsia"/>
                <w:noProof/>
              </w:rPr>
              <w:t>The female prison population in Scotland</w:t>
            </w:r>
            <w:r w:rsidR="009049E1">
              <w:rPr>
                <w:noProof/>
                <w:webHidden/>
              </w:rPr>
              <w:tab/>
            </w:r>
            <w:r w:rsidR="009049E1">
              <w:rPr>
                <w:noProof/>
                <w:webHidden/>
              </w:rPr>
              <w:fldChar w:fldCharType="begin"/>
            </w:r>
            <w:r w:rsidR="009049E1">
              <w:rPr>
                <w:noProof/>
                <w:webHidden/>
              </w:rPr>
              <w:instrText xml:space="preserve"> PAGEREF _Toc429555800 \h </w:instrText>
            </w:r>
            <w:r w:rsidR="009049E1">
              <w:rPr>
                <w:noProof/>
                <w:webHidden/>
              </w:rPr>
            </w:r>
            <w:r w:rsidR="009049E1">
              <w:rPr>
                <w:noProof/>
                <w:webHidden/>
              </w:rPr>
              <w:fldChar w:fldCharType="separate"/>
            </w:r>
            <w:r>
              <w:rPr>
                <w:noProof/>
                <w:webHidden/>
              </w:rPr>
              <w:t>12</w:t>
            </w:r>
            <w:r w:rsidR="009049E1">
              <w:rPr>
                <w:noProof/>
                <w:webHidden/>
              </w:rPr>
              <w:fldChar w:fldCharType="end"/>
            </w:r>
          </w:hyperlink>
        </w:p>
        <w:p w14:paraId="576BF457" w14:textId="77777777" w:rsidR="009049E1" w:rsidRDefault="00246821">
          <w:pPr>
            <w:pStyle w:val="TOC2"/>
            <w:rPr>
              <w:rFonts w:asciiTheme="minorHAnsi" w:eastAsiaTheme="minorEastAsia" w:hAnsiTheme="minorHAnsi" w:cstheme="minorBidi"/>
              <w:noProof/>
              <w:sz w:val="22"/>
              <w:szCs w:val="22"/>
              <w:lang w:eastAsia="en-GB"/>
            </w:rPr>
          </w:pPr>
          <w:hyperlink w:anchor="_Toc429555801" w:history="1">
            <w:r w:rsidR="009049E1" w:rsidRPr="00673B70">
              <w:rPr>
                <w:rStyle w:val="Hyperlink"/>
                <w:rFonts w:eastAsiaTheme="majorEastAsia"/>
                <w:noProof/>
              </w:rPr>
              <w:t>Crime type</w:t>
            </w:r>
            <w:r w:rsidR="009049E1">
              <w:rPr>
                <w:noProof/>
                <w:webHidden/>
              </w:rPr>
              <w:tab/>
            </w:r>
            <w:r w:rsidR="009049E1">
              <w:rPr>
                <w:noProof/>
                <w:webHidden/>
              </w:rPr>
              <w:fldChar w:fldCharType="begin"/>
            </w:r>
            <w:r w:rsidR="009049E1">
              <w:rPr>
                <w:noProof/>
                <w:webHidden/>
              </w:rPr>
              <w:instrText xml:space="preserve"> PAGEREF _Toc429555801 \h </w:instrText>
            </w:r>
            <w:r w:rsidR="009049E1">
              <w:rPr>
                <w:noProof/>
                <w:webHidden/>
              </w:rPr>
            </w:r>
            <w:r w:rsidR="009049E1">
              <w:rPr>
                <w:noProof/>
                <w:webHidden/>
              </w:rPr>
              <w:fldChar w:fldCharType="separate"/>
            </w:r>
            <w:r>
              <w:rPr>
                <w:noProof/>
                <w:webHidden/>
              </w:rPr>
              <w:t>12</w:t>
            </w:r>
            <w:r w:rsidR="009049E1">
              <w:rPr>
                <w:noProof/>
                <w:webHidden/>
              </w:rPr>
              <w:fldChar w:fldCharType="end"/>
            </w:r>
          </w:hyperlink>
        </w:p>
        <w:p w14:paraId="638981F9" w14:textId="77777777" w:rsidR="009049E1" w:rsidRDefault="00246821">
          <w:pPr>
            <w:pStyle w:val="TOC2"/>
            <w:rPr>
              <w:rFonts w:asciiTheme="minorHAnsi" w:eastAsiaTheme="minorEastAsia" w:hAnsiTheme="minorHAnsi" w:cstheme="minorBidi"/>
              <w:noProof/>
              <w:sz w:val="22"/>
              <w:szCs w:val="22"/>
              <w:lang w:eastAsia="en-GB"/>
            </w:rPr>
          </w:pPr>
          <w:hyperlink w:anchor="_Toc429555802" w:history="1">
            <w:r w:rsidR="009049E1" w:rsidRPr="00673B70">
              <w:rPr>
                <w:rStyle w:val="Hyperlink"/>
                <w:rFonts w:eastAsiaTheme="majorEastAsia"/>
                <w:noProof/>
              </w:rPr>
              <w:t>Sentence length</w:t>
            </w:r>
            <w:r w:rsidR="009049E1">
              <w:rPr>
                <w:noProof/>
                <w:webHidden/>
              </w:rPr>
              <w:tab/>
            </w:r>
            <w:r w:rsidR="009049E1">
              <w:rPr>
                <w:noProof/>
                <w:webHidden/>
              </w:rPr>
              <w:fldChar w:fldCharType="begin"/>
            </w:r>
            <w:r w:rsidR="009049E1">
              <w:rPr>
                <w:noProof/>
                <w:webHidden/>
              </w:rPr>
              <w:instrText xml:space="preserve"> PAGEREF _Toc429555802 \h </w:instrText>
            </w:r>
            <w:r w:rsidR="009049E1">
              <w:rPr>
                <w:noProof/>
                <w:webHidden/>
              </w:rPr>
            </w:r>
            <w:r w:rsidR="009049E1">
              <w:rPr>
                <w:noProof/>
                <w:webHidden/>
              </w:rPr>
              <w:fldChar w:fldCharType="separate"/>
            </w:r>
            <w:r>
              <w:rPr>
                <w:noProof/>
                <w:webHidden/>
              </w:rPr>
              <w:t>13</w:t>
            </w:r>
            <w:r w:rsidR="009049E1">
              <w:rPr>
                <w:noProof/>
                <w:webHidden/>
              </w:rPr>
              <w:fldChar w:fldCharType="end"/>
            </w:r>
          </w:hyperlink>
        </w:p>
        <w:p w14:paraId="2D4C1B87" w14:textId="77777777" w:rsidR="009049E1" w:rsidRDefault="00246821">
          <w:pPr>
            <w:pStyle w:val="TOC2"/>
            <w:rPr>
              <w:rFonts w:asciiTheme="minorHAnsi" w:eastAsiaTheme="minorEastAsia" w:hAnsiTheme="minorHAnsi" w:cstheme="minorBidi"/>
              <w:noProof/>
              <w:sz w:val="22"/>
              <w:szCs w:val="22"/>
              <w:lang w:eastAsia="en-GB"/>
            </w:rPr>
          </w:pPr>
          <w:hyperlink w:anchor="_Toc429555803" w:history="1">
            <w:r w:rsidR="009049E1" w:rsidRPr="00673B70">
              <w:rPr>
                <w:rStyle w:val="Hyperlink"/>
                <w:rFonts w:eastAsiaTheme="majorEastAsia"/>
                <w:noProof/>
              </w:rPr>
              <w:t>Growth in female prison population</w:t>
            </w:r>
            <w:r w:rsidR="009049E1">
              <w:rPr>
                <w:noProof/>
                <w:webHidden/>
              </w:rPr>
              <w:tab/>
            </w:r>
            <w:r w:rsidR="009049E1">
              <w:rPr>
                <w:noProof/>
                <w:webHidden/>
              </w:rPr>
              <w:fldChar w:fldCharType="begin"/>
            </w:r>
            <w:r w:rsidR="009049E1">
              <w:rPr>
                <w:noProof/>
                <w:webHidden/>
              </w:rPr>
              <w:instrText xml:space="preserve"> PAGEREF _Toc429555803 \h </w:instrText>
            </w:r>
            <w:r w:rsidR="009049E1">
              <w:rPr>
                <w:noProof/>
                <w:webHidden/>
              </w:rPr>
            </w:r>
            <w:r w:rsidR="009049E1">
              <w:rPr>
                <w:noProof/>
                <w:webHidden/>
              </w:rPr>
              <w:fldChar w:fldCharType="separate"/>
            </w:r>
            <w:r>
              <w:rPr>
                <w:noProof/>
                <w:webHidden/>
              </w:rPr>
              <w:t>14</w:t>
            </w:r>
            <w:r w:rsidR="009049E1">
              <w:rPr>
                <w:noProof/>
                <w:webHidden/>
              </w:rPr>
              <w:fldChar w:fldCharType="end"/>
            </w:r>
          </w:hyperlink>
        </w:p>
        <w:p w14:paraId="5BC8DD5D" w14:textId="77777777" w:rsidR="009049E1" w:rsidRDefault="00246821">
          <w:pPr>
            <w:pStyle w:val="TOC2"/>
            <w:rPr>
              <w:rFonts w:asciiTheme="minorHAnsi" w:eastAsiaTheme="minorEastAsia" w:hAnsiTheme="minorHAnsi" w:cstheme="minorBidi"/>
              <w:noProof/>
              <w:sz w:val="22"/>
              <w:szCs w:val="22"/>
              <w:lang w:eastAsia="en-GB"/>
            </w:rPr>
          </w:pPr>
          <w:hyperlink w:anchor="_Toc429555804" w:history="1">
            <w:r w:rsidR="009049E1" w:rsidRPr="00673B70">
              <w:rPr>
                <w:rStyle w:val="Hyperlink"/>
                <w:rFonts w:eastAsiaTheme="majorEastAsia"/>
                <w:noProof/>
              </w:rPr>
              <w:t>Reoffending rates</w:t>
            </w:r>
            <w:r w:rsidR="009049E1">
              <w:rPr>
                <w:noProof/>
                <w:webHidden/>
              </w:rPr>
              <w:tab/>
            </w:r>
            <w:r w:rsidR="009049E1">
              <w:rPr>
                <w:noProof/>
                <w:webHidden/>
              </w:rPr>
              <w:fldChar w:fldCharType="begin"/>
            </w:r>
            <w:r w:rsidR="009049E1">
              <w:rPr>
                <w:noProof/>
                <w:webHidden/>
              </w:rPr>
              <w:instrText xml:space="preserve"> PAGEREF _Toc429555804 \h </w:instrText>
            </w:r>
            <w:r w:rsidR="009049E1">
              <w:rPr>
                <w:noProof/>
                <w:webHidden/>
              </w:rPr>
            </w:r>
            <w:r w:rsidR="009049E1">
              <w:rPr>
                <w:noProof/>
                <w:webHidden/>
              </w:rPr>
              <w:fldChar w:fldCharType="separate"/>
            </w:r>
            <w:r>
              <w:rPr>
                <w:noProof/>
                <w:webHidden/>
              </w:rPr>
              <w:t>15</w:t>
            </w:r>
            <w:r w:rsidR="009049E1">
              <w:rPr>
                <w:noProof/>
                <w:webHidden/>
              </w:rPr>
              <w:fldChar w:fldCharType="end"/>
            </w:r>
          </w:hyperlink>
        </w:p>
        <w:p w14:paraId="43E11206" w14:textId="77777777" w:rsidR="009049E1" w:rsidRDefault="00246821">
          <w:pPr>
            <w:pStyle w:val="TOC2"/>
            <w:rPr>
              <w:rFonts w:asciiTheme="minorHAnsi" w:eastAsiaTheme="minorEastAsia" w:hAnsiTheme="minorHAnsi" w:cstheme="minorBidi"/>
              <w:noProof/>
              <w:sz w:val="22"/>
              <w:szCs w:val="22"/>
              <w:lang w:eastAsia="en-GB"/>
            </w:rPr>
          </w:pPr>
          <w:hyperlink w:anchor="_Toc429555805" w:history="1">
            <w:r w:rsidR="009049E1" w:rsidRPr="00673B70">
              <w:rPr>
                <w:rStyle w:val="Hyperlink"/>
                <w:rFonts w:eastAsiaTheme="majorEastAsia"/>
                <w:noProof/>
              </w:rPr>
              <w:t>The female custodial estate in Scotland</w:t>
            </w:r>
            <w:r w:rsidR="009049E1">
              <w:rPr>
                <w:noProof/>
                <w:webHidden/>
              </w:rPr>
              <w:tab/>
            </w:r>
            <w:r w:rsidR="009049E1">
              <w:rPr>
                <w:noProof/>
                <w:webHidden/>
              </w:rPr>
              <w:fldChar w:fldCharType="begin"/>
            </w:r>
            <w:r w:rsidR="009049E1">
              <w:rPr>
                <w:noProof/>
                <w:webHidden/>
              </w:rPr>
              <w:instrText xml:space="preserve"> PAGEREF _Toc429555805 \h </w:instrText>
            </w:r>
            <w:r w:rsidR="009049E1">
              <w:rPr>
                <w:noProof/>
                <w:webHidden/>
              </w:rPr>
            </w:r>
            <w:r w:rsidR="009049E1">
              <w:rPr>
                <w:noProof/>
                <w:webHidden/>
              </w:rPr>
              <w:fldChar w:fldCharType="separate"/>
            </w:r>
            <w:r>
              <w:rPr>
                <w:noProof/>
                <w:webHidden/>
              </w:rPr>
              <w:t>16</w:t>
            </w:r>
            <w:r w:rsidR="009049E1">
              <w:rPr>
                <w:noProof/>
                <w:webHidden/>
              </w:rPr>
              <w:fldChar w:fldCharType="end"/>
            </w:r>
          </w:hyperlink>
        </w:p>
        <w:p w14:paraId="2C7D56D5" w14:textId="77777777" w:rsidR="009049E1" w:rsidRDefault="00246821">
          <w:pPr>
            <w:pStyle w:val="TOC2"/>
            <w:rPr>
              <w:rFonts w:asciiTheme="minorHAnsi" w:eastAsiaTheme="minorEastAsia" w:hAnsiTheme="minorHAnsi" w:cstheme="minorBidi"/>
              <w:noProof/>
              <w:sz w:val="22"/>
              <w:szCs w:val="22"/>
              <w:lang w:eastAsia="en-GB"/>
            </w:rPr>
          </w:pPr>
          <w:hyperlink w:anchor="_Toc429555806" w:history="1">
            <w:r w:rsidR="009049E1" w:rsidRPr="00673B70">
              <w:rPr>
                <w:rStyle w:val="Hyperlink"/>
                <w:rFonts w:eastAsiaTheme="majorEastAsia"/>
                <w:noProof/>
              </w:rPr>
              <w:t>Principles of best practice</w:t>
            </w:r>
            <w:r w:rsidR="009049E1">
              <w:rPr>
                <w:noProof/>
                <w:webHidden/>
              </w:rPr>
              <w:tab/>
            </w:r>
            <w:r w:rsidR="009049E1">
              <w:rPr>
                <w:noProof/>
                <w:webHidden/>
              </w:rPr>
              <w:fldChar w:fldCharType="begin"/>
            </w:r>
            <w:r w:rsidR="009049E1">
              <w:rPr>
                <w:noProof/>
                <w:webHidden/>
              </w:rPr>
              <w:instrText xml:space="preserve"> PAGEREF _Toc429555806 \h </w:instrText>
            </w:r>
            <w:r w:rsidR="009049E1">
              <w:rPr>
                <w:noProof/>
                <w:webHidden/>
              </w:rPr>
            </w:r>
            <w:r w:rsidR="009049E1">
              <w:rPr>
                <w:noProof/>
                <w:webHidden/>
              </w:rPr>
              <w:fldChar w:fldCharType="separate"/>
            </w:r>
            <w:r>
              <w:rPr>
                <w:noProof/>
                <w:webHidden/>
              </w:rPr>
              <w:t>16</w:t>
            </w:r>
            <w:r w:rsidR="009049E1">
              <w:rPr>
                <w:noProof/>
                <w:webHidden/>
              </w:rPr>
              <w:fldChar w:fldCharType="end"/>
            </w:r>
          </w:hyperlink>
        </w:p>
        <w:p w14:paraId="5F78FD5F" w14:textId="77777777" w:rsidR="009049E1" w:rsidRDefault="00246821">
          <w:pPr>
            <w:pStyle w:val="TOC1"/>
            <w:tabs>
              <w:tab w:val="left" w:pos="567"/>
            </w:tabs>
            <w:rPr>
              <w:rFonts w:asciiTheme="minorHAnsi" w:eastAsiaTheme="minorEastAsia" w:hAnsiTheme="minorHAnsi" w:cstheme="minorBidi"/>
              <w:b w:val="0"/>
              <w:sz w:val="22"/>
              <w:szCs w:val="22"/>
              <w:lang w:eastAsia="en-GB"/>
            </w:rPr>
          </w:pPr>
          <w:hyperlink w:anchor="_Toc429555807" w:history="1">
            <w:r w:rsidR="009049E1" w:rsidRPr="00673B70">
              <w:rPr>
                <w:rStyle w:val="Hyperlink"/>
                <w:rFonts w:eastAsiaTheme="majorEastAsia"/>
              </w:rPr>
              <w:t>5.</w:t>
            </w:r>
            <w:r w:rsidR="009049E1">
              <w:rPr>
                <w:rFonts w:asciiTheme="minorHAnsi" w:eastAsiaTheme="minorEastAsia" w:hAnsiTheme="minorHAnsi" w:cstheme="minorBidi"/>
                <w:b w:val="0"/>
                <w:sz w:val="22"/>
                <w:szCs w:val="22"/>
                <w:lang w:eastAsia="en-GB"/>
              </w:rPr>
              <w:tab/>
            </w:r>
            <w:r w:rsidR="009049E1" w:rsidRPr="00673B70">
              <w:rPr>
                <w:rStyle w:val="Hyperlink"/>
                <w:rFonts w:eastAsiaTheme="majorEastAsia"/>
              </w:rPr>
              <w:t>International Approaches to Women in  Custody</w:t>
            </w:r>
            <w:r w:rsidR="009049E1">
              <w:rPr>
                <w:webHidden/>
              </w:rPr>
              <w:tab/>
            </w:r>
            <w:r w:rsidR="009049E1">
              <w:rPr>
                <w:webHidden/>
              </w:rPr>
              <w:fldChar w:fldCharType="begin"/>
            </w:r>
            <w:r w:rsidR="009049E1">
              <w:rPr>
                <w:webHidden/>
              </w:rPr>
              <w:instrText xml:space="preserve"> PAGEREF _Toc429555807 \h </w:instrText>
            </w:r>
            <w:r w:rsidR="009049E1">
              <w:rPr>
                <w:webHidden/>
              </w:rPr>
            </w:r>
            <w:r w:rsidR="009049E1">
              <w:rPr>
                <w:webHidden/>
              </w:rPr>
              <w:fldChar w:fldCharType="separate"/>
            </w:r>
            <w:r>
              <w:rPr>
                <w:webHidden/>
              </w:rPr>
              <w:t>19</w:t>
            </w:r>
            <w:r w:rsidR="009049E1">
              <w:rPr>
                <w:webHidden/>
              </w:rPr>
              <w:fldChar w:fldCharType="end"/>
            </w:r>
          </w:hyperlink>
        </w:p>
        <w:p w14:paraId="3F9D171A" w14:textId="77777777" w:rsidR="009049E1" w:rsidRDefault="00246821">
          <w:pPr>
            <w:pStyle w:val="TOC2"/>
            <w:rPr>
              <w:rFonts w:asciiTheme="minorHAnsi" w:eastAsiaTheme="minorEastAsia" w:hAnsiTheme="minorHAnsi" w:cstheme="minorBidi"/>
              <w:noProof/>
              <w:sz w:val="22"/>
              <w:szCs w:val="22"/>
              <w:lang w:eastAsia="en-GB"/>
            </w:rPr>
          </w:pPr>
          <w:hyperlink w:anchor="_Toc429555808" w:history="1">
            <w:r w:rsidR="009049E1" w:rsidRPr="00673B70">
              <w:rPr>
                <w:rStyle w:val="Hyperlink"/>
                <w:rFonts w:eastAsiaTheme="majorEastAsia"/>
                <w:noProof/>
              </w:rPr>
              <w:t>Non-residential alternatives to custody</w:t>
            </w:r>
            <w:r w:rsidR="009049E1">
              <w:rPr>
                <w:noProof/>
                <w:webHidden/>
              </w:rPr>
              <w:tab/>
            </w:r>
            <w:r w:rsidR="009049E1">
              <w:rPr>
                <w:noProof/>
                <w:webHidden/>
              </w:rPr>
              <w:fldChar w:fldCharType="begin"/>
            </w:r>
            <w:r w:rsidR="009049E1">
              <w:rPr>
                <w:noProof/>
                <w:webHidden/>
              </w:rPr>
              <w:instrText xml:space="preserve"> PAGEREF _Toc429555808 \h </w:instrText>
            </w:r>
            <w:r w:rsidR="009049E1">
              <w:rPr>
                <w:noProof/>
                <w:webHidden/>
              </w:rPr>
            </w:r>
            <w:r w:rsidR="009049E1">
              <w:rPr>
                <w:noProof/>
                <w:webHidden/>
              </w:rPr>
              <w:fldChar w:fldCharType="separate"/>
            </w:r>
            <w:r>
              <w:rPr>
                <w:noProof/>
                <w:webHidden/>
              </w:rPr>
              <w:t>19</w:t>
            </w:r>
            <w:r w:rsidR="009049E1">
              <w:rPr>
                <w:noProof/>
                <w:webHidden/>
              </w:rPr>
              <w:fldChar w:fldCharType="end"/>
            </w:r>
          </w:hyperlink>
        </w:p>
        <w:p w14:paraId="088C2860" w14:textId="77777777" w:rsidR="009049E1" w:rsidRDefault="00246821">
          <w:pPr>
            <w:pStyle w:val="TOC2"/>
            <w:rPr>
              <w:rFonts w:asciiTheme="minorHAnsi" w:eastAsiaTheme="minorEastAsia" w:hAnsiTheme="minorHAnsi" w:cstheme="minorBidi"/>
              <w:noProof/>
              <w:sz w:val="22"/>
              <w:szCs w:val="22"/>
              <w:lang w:eastAsia="en-GB"/>
            </w:rPr>
          </w:pPr>
          <w:hyperlink w:anchor="_Toc429555809" w:history="1">
            <w:r w:rsidR="009049E1" w:rsidRPr="00673B70">
              <w:rPr>
                <w:rStyle w:val="Hyperlink"/>
                <w:rFonts w:eastAsiaTheme="majorEastAsia"/>
                <w:noProof/>
              </w:rPr>
              <w:t>Community residential units</w:t>
            </w:r>
            <w:r w:rsidR="009049E1">
              <w:rPr>
                <w:noProof/>
                <w:webHidden/>
              </w:rPr>
              <w:tab/>
            </w:r>
            <w:r w:rsidR="009049E1">
              <w:rPr>
                <w:noProof/>
                <w:webHidden/>
              </w:rPr>
              <w:fldChar w:fldCharType="begin"/>
            </w:r>
            <w:r w:rsidR="009049E1">
              <w:rPr>
                <w:noProof/>
                <w:webHidden/>
              </w:rPr>
              <w:instrText xml:space="preserve"> PAGEREF _Toc429555809 \h </w:instrText>
            </w:r>
            <w:r w:rsidR="009049E1">
              <w:rPr>
                <w:noProof/>
                <w:webHidden/>
              </w:rPr>
            </w:r>
            <w:r w:rsidR="009049E1">
              <w:rPr>
                <w:noProof/>
                <w:webHidden/>
              </w:rPr>
              <w:fldChar w:fldCharType="separate"/>
            </w:r>
            <w:r>
              <w:rPr>
                <w:noProof/>
                <w:webHidden/>
              </w:rPr>
              <w:t>20</w:t>
            </w:r>
            <w:r w:rsidR="009049E1">
              <w:rPr>
                <w:noProof/>
                <w:webHidden/>
              </w:rPr>
              <w:fldChar w:fldCharType="end"/>
            </w:r>
          </w:hyperlink>
        </w:p>
        <w:p w14:paraId="03F59BE2" w14:textId="77777777" w:rsidR="009049E1" w:rsidRDefault="00246821">
          <w:pPr>
            <w:pStyle w:val="TOC2"/>
            <w:rPr>
              <w:rFonts w:asciiTheme="minorHAnsi" w:eastAsiaTheme="minorEastAsia" w:hAnsiTheme="minorHAnsi" w:cstheme="minorBidi"/>
              <w:noProof/>
              <w:sz w:val="22"/>
              <w:szCs w:val="22"/>
              <w:lang w:eastAsia="en-GB"/>
            </w:rPr>
          </w:pPr>
          <w:hyperlink w:anchor="_Toc429555810" w:history="1">
            <w:r w:rsidR="009049E1" w:rsidRPr="00673B70">
              <w:rPr>
                <w:rStyle w:val="Hyperlink"/>
                <w:rFonts w:eastAsiaTheme="majorEastAsia"/>
                <w:noProof/>
              </w:rPr>
              <w:t>Open prisons</w:t>
            </w:r>
            <w:r w:rsidR="009049E1">
              <w:rPr>
                <w:noProof/>
                <w:webHidden/>
              </w:rPr>
              <w:tab/>
            </w:r>
            <w:r w:rsidR="009049E1">
              <w:rPr>
                <w:noProof/>
                <w:webHidden/>
              </w:rPr>
              <w:fldChar w:fldCharType="begin"/>
            </w:r>
            <w:r w:rsidR="009049E1">
              <w:rPr>
                <w:noProof/>
                <w:webHidden/>
              </w:rPr>
              <w:instrText xml:space="preserve"> PAGEREF _Toc429555810 \h </w:instrText>
            </w:r>
            <w:r w:rsidR="009049E1">
              <w:rPr>
                <w:noProof/>
                <w:webHidden/>
              </w:rPr>
            </w:r>
            <w:r w:rsidR="009049E1">
              <w:rPr>
                <w:noProof/>
                <w:webHidden/>
              </w:rPr>
              <w:fldChar w:fldCharType="separate"/>
            </w:r>
            <w:r>
              <w:rPr>
                <w:noProof/>
                <w:webHidden/>
              </w:rPr>
              <w:t>21</w:t>
            </w:r>
            <w:r w:rsidR="009049E1">
              <w:rPr>
                <w:noProof/>
                <w:webHidden/>
              </w:rPr>
              <w:fldChar w:fldCharType="end"/>
            </w:r>
          </w:hyperlink>
        </w:p>
        <w:p w14:paraId="0069D8A4" w14:textId="77777777" w:rsidR="009049E1" w:rsidRDefault="00246821">
          <w:pPr>
            <w:pStyle w:val="TOC2"/>
            <w:rPr>
              <w:rFonts w:asciiTheme="minorHAnsi" w:eastAsiaTheme="minorEastAsia" w:hAnsiTheme="minorHAnsi" w:cstheme="minorBidi"/>
              <w:noProof/>
              <w:sz w:val="22"/>
              <w:szCs w:val="22"/>
              <w:lang w:eastAsia="en-GB"/>
            </w:rPr>
          </w:pPr>
          <w:hyperlink w:anchor="_Toc429555811" w:history="1">
            <w:r w:rsidR="009049E1" w:rsidRPr="00673B70">
              <w:rPr>
                <w:rStyle w:val="Hyperlink"/>
                <w:rFonts w:eastAsiaTheme="majorEastAsia"/>
                <w:noProof/>
              </w:rPr>
              <w:t>Small Custodial Units</w:t>
            </w:r>
            <w:r w:rsidR="009049E1">
              <w:rPr>
                <w:noProof/>
                <w:webHidden/>
              </w:rPr>
              <w:tab/>
            </w:r>
            <w:r w:rsidR="009049E1">
              <w:rPr>
                <w:noProof/>
                <w:webHidden/>
              </w:rPr>
              <w:fldChar w:fldCharType="begin"/>
            </w:r>
            <w:r w:rsidR="009049E1">
              <w:rPr>
                <w:noProof/>
                <w:webHidden/>
              </w:rPr>
              <w:instrText xml:space="preserve"> PAGEREF _Toc429555811 \h </w:instrText>
            </w:r>
            <w:r w:rsidR="009049E1">
              <w:rPr>
                <w:noProof/>
                <w:webHidden/>
              </w:rPr>
            </w:r>
            <w:r w:rsidR="009049E1">
              <w:rPr>
                <w:noProof/>
                <w:webHidden/>
              </w:rPr>
              <w:fldChar w:fldCharType="separate"/>
            </w:r>
            <w:r>
              <w:rPr>
                <w:noProof/>
                <w:webHidden/>
              </w:rPr>
              <w:t>22</w:t>
            </w:r>
            <w:r w:rsidR="009049E1">
              <w:rPr>
                <w:noProof/>
                <w:webHidden/>
              </w:rPr>
              <w:fldChar w:fldCharType="end"/>
            </w:r>
          </w:hyperlink>
        </w:p>
        <w:p w14:paraId="77A8AD25" w14:textId="77777777" w:rsidR="009049E1" w:rsidRDefault="00246821">
          <w:pPr>
            <w:pStyle w:val="TOC2"/>
            <w:rPr>
              <w:rFonts w:asciiTheme="minorHAnsi" w:eastAsiaTheme="minorEastAsia" w:hAnsiTheme="minorHAnsi" w:cstheme="minorBidi"/>
              <w:noProof/>
              <w:sz w:val="22"/>
              <w:szCs w:val="22"/>
              <w:lang w:eastAsia="en-GB"/>
            </w:rPr>
          </w:pPr>
          <w:hyperlink w:anchor="_Toc429555812" w:history="1">
            <w:r w:rsidR="009049E1" w:rsidRPr="00673B70">
              <w:rPr>
                <w:rStyle w:val="Hyperlink"/>
                <w:rFonts w:eastAsiaTheme="majorEastAsia"/>
                <w:noProof/>
              </w:rPr>
              <w:t>Other custodial approaches</w:t>
            </w:r>
            <w:r w:rsidR="009049E1">
              <w:rPr>
                <w:noProof/>
                <w:webHidden/>
              </w:rPr>
              <w:tab/>
            </w:r>
            <w:r w:rsidR="009049E1">
              <w:rPr>
                <w:noProof/>
                <w:webHidden/>
              </w:rPr>
              <w:fldChar w:fldCharType="begin"/>
            </w:r>
            <w:r w:rsidR="009049E1">
              <w:rPr>
                <w:noProof/>
                <w:webHidden/>
              </w:rPr>
              <w:instrText xml:space="preserve"> PAGEREF _Toc429555812 \h </w:instrText>
            </w:r>
            <w:r w:rsidR="009049E1">
              <w:rPr>
                <w:noProof/>
                <w:webHidden/>
              </w:rPr>
            </w:r>
            <w:r w:rsidR="009049E1">
              <w:rPr>
                <w:noProof/>
                <w:webHidden/>
              </w:rPr>
              <w:fldChar w:fldCharType="separate"/>
            </w:r>
            <w:r>
              <w:rPr>
                <w:noProof/>
                <w:webHidden/>
              </w:rPr>
              <w:t>25</w:t>
            </w:r>
            <w:r w:rsidR="009049E1">
              <w:rPr>
                <w:noProof/>
                <w:webHidden/>
              </w:rPr>
              <w:fldChar w:fldCharType="end"/>
            </w:r>
          </w:hyperlink>
        </w:p>
        <w:p w14:paraId="1D074CAC" w14:textId="77777777" w:rsidR="009049E1" w:rsidRDefault="00246821">
          <w:pPr>
            <w:pStyle w:val="TOC1"/>
            <w:tabs>
              <w:tab w:val="left" w:pos="567"/>
            </w:tabs>
            <w:rPr>
              <w:rFonts w:asciiTheme="minorHAnsi" w:eastAsiaTheme="minorEastAsia" w:hAnsiTheme="minorHAnsi" w:cstheme="minorBidi"/>
              <w:b w:val="0"/>
              <w:sz w:val="22"/>
              <w:szCs w:val="22"/>
              <w:lang w:eastAsia="en-GB"/>
            </w:rPr>
          </w:pPr>
          <w:hyperlink w:anchor="_Toc429555813" w:history="1">
            <w:r w:rsidR="009049E1" w:rsidRPr="00673B70">
              <w:rPr>
                <w:rStyle w:val="Hyperlink"/>
              </w:rPr>
              <w:t>6.</w:t>
            </w:r>
            <w:r w:rsidR="009049E1">
              <w:rPr>
                <w:rFonts w:asciiTheme="minorHAnsi" w:eastAsiaTheme="minorEastAsia" w:hAnsiTheme="minorHAnsi" w:cstheme="minorBidi"/>
                <w:b w:val="0"/>
                <w:sz w:val="22"/>
                <w:szCs w:val="22"/>
                <w:lang w:eastAsia="en-GB"/>
              </w:rPr>
              <w:tab/>
            </w:r>
            <w:r w:rsidR="009049E1" w:rsidRPr="00673B70">
              <w:rPr>
                <w:rStyle w:val="Hyperlink"/>
              </w:rPr>
              <w:t>The Scandinavian Model</w:t>
            </w:r>
            <w:r w:rsidR="009049E1">
              <w:rPr>
                <w:webHidden/>
              </w:rPr>
              <w:tab/>
            </w:r>
            <w:r w:rsidR="009049E1">
              <w:rPr>
                <w:webHidden/>
              </w:rPr>
              <w:fldChar w:fldCharType="begin"/>
            </w:r>
            <w:r w:rsidR="009049E1">
              <w:rPr>
                <w:webHidden/>
              </w:rPr>
              <w:instrText xml:space="preserve"> PAGEREF _Toc429555813 \h </w:instrText>
            </w:r>
            <w:r w:rsidR="009049E1">
              <w:rPr>
                <w:webHidden/>
              </w:rPr>
            </w:r>
            <w:r w:rsidR="009049E1">
              <w:rPr>
                <w:webHidden/>
              </w:rPr>
              <w:fldChar w:fldCharType="separate"/>
            </w:r>
            <w:r>
              <w:rPr>
                <w:webHidden/>
              </w:rPr>
              <w:t>28</w:t>
            </w:r>
            <w:r w:rsidR="009049E1">
              <w:rPr>
                <w:webHidden/>
              </w:rPr>
              <w:fldChar w:fldCharType="end"/>
            </w:r>
          </w:hyperlink>
        </w:p>
        <w:p w14:paraId="3C151776" w14:textId="77777777" w:rsidR="009049E1" w:rsidRDefault="00246821">
          <w:pPr>
            <w:pStyle w:val="TOC1"/>
            <w:tabs>
              <w:tab w:val="left" w:pos="567"/>
            </w:tabs>
            <w:rPr>
              <w:rFonts w:asciiTheme="minorHAnsi" w:eastAsiaTheme="minorEastAsia" w:hAnsiTheme="minorHAnsi" w:cstheme="minorBidi"/>
              <w:b w:val="0"/>
              <w:sz w:val="22"/>
              <w:szCs w:val="22"/>
              <w:lang w:eastAsia="en-GB"/>
            </w:rPr>
          </w:pPr>
          <w:hyperlink w:anchor="_Toc429555814" w:history="1">
            <w:r w:rsidR="009049E1" w:rsidRPr="00673B70">
              <w:rPr>
                <w:rStyle w:val="Hyperlink"/>
                <w:rFonts w:eastAsiaTheme="majorEastAsia"/>
              </w:rPr>
              <w:t>7.</w:t>
            </w:r>
            <w:r w:rsidR="009049E1">
              <w:rPr>
                <w:rFonts w:asciiTheme="minorHAnsi" w:eastAsiaTheme="minorEastAsia" w:hAnsiTheme="minorHAnsi" w:cstheme="minorBidi"/>
                <w:b w:val="0"/>
                <w:sz w:val="22"/>
                <w:szCs w:val="22"/>
                <w:lang w:eastAsia="en-GB"/>
              </w:rPr>
              <w:tab/>
            </w:r>
            <w:r w:rsidR="009049E1" w:rsidRPr="00673B70">
              <w:rPr>
                <w:rStyle w:val="Hyperlink"/>
                <w:rFonts w:eastAsiaTheme="majorEastAsia"/>
              </w:rPr>
              <w:t>Learning from the Canadian  Experience</w:t>
            </w:r>
            <w:r w:rsidR="009049E1">
              <w:rPr>
                <w:webHidden/>
              </w:rPr>
              <w:tab/>
            </w:r>
            <w:r w:rsidR="009049E1">
              <w:rPr>
                <w:webHidden/>
              </w:rPr>
              <w:fldChar w:fldCharType="begin"/>
            </w:r>
            <w:r w:rsidR="009049E1">
              <w:rPr>
                <w:webHidden/>
              </w:rPr>
              <w:instrText xml:space="preserve"> PAGEREF _Toc429555814 \h </w:instrText>
            </w:r>
            <w:r w:rsidR="009049E1">
              <w:rPr>
                <w:webHidden/>
              </w:rPr>
            </w:r>
            <w:r w:rsidR="009049E1">
              <w:rPr>
                <w:webHidden/>
              </w:rPr>
              <w:fldChar w:fldCharType="separate"/>
            </w:r>
            <w:r>
              <w:rPr>
                <w:webHidden/>
              </w:rPr>
              <w:t>31</w:t>
            </w:r>
            <w:r w:rsidR="009049E1">
              <w:rPr>
                <w:webHidden/>
              </w:rPr>
              <w:fldChar w:fldCharType="end"/>
            </w:r>
          </w:hyperlink>
        </w:p>
        <w:p w14:paraId="1031CD75" w14:textId="77777777" w:rsidR="009049E1" w:rsidRDefault="00246821">
          <w:pPr>
            <w:pStyle w:val="TOC1"/>
            <w:tabs>
              <w:tab w:val="left" w:pos="567"/>
            </w:tabs>
            <w:rPr>
              <w:rFonts w:asciiTheme="minorHAnsi" w:eastAsiaTheme="minorEastAsia" w:hAnsiTheme="minorHAnsi" w:cstheme="minorBidi"/>
              <w:b w:val="0"/>
              <w:sz w:val="22"/>
              <w:szCs w:val="22"/>
              <w:lang w:eastAsia="en-GB"/>
            </w:rPr>
          </w:pPr>
          <w:hyperlink w:anchor="_Toc429555815" w:history="1">
            <w:r w:rsidR="009049E1" w:rsidRPr="00673B70">
              <w:rPr>
                <w:rStyle w:val="Hyperlink"/>
                <w:rFonts w:eastAsiaTheme="majorEastAsia"/>
              </w:rPr>
              <w:t>8.</w:t>
            </w:r>
            <w:r w:rsidR="009049E1">
              <w:rPr>
                <w:rFonts w:asciiTheme="minorHAnsi" w:eastAsiaTheme="minorEastAsia" w:hAnsiTheme="minorHAnsi" w:cstheme="minorBidi"/>
                <w:b w:val="0"/>
                <w:sz w:val="22"/>
                <w:szCs w:val="22"/>
                <w:lang w:eastAsia="en-GB"/>
              </w:rPr>
              <w:tab/>
            </w:r>
            <w:r w:rsidR="009049E1" w:rsidRPr="00673B70">
              <w:rPr>
                <w:rStyle w:val="Hyperlink"/>
                <w:rFonts w:eastAsiaTheme="majorEastAsia"/>
              </w:rPr>
              <w:t>Policy Considerations for Women in  Custody</w:t>
            </w:r>
            <w:r w:rsidR="009049E1">
              <w:rPr>
                <w:webHidden/>
              </w:rPr>
              <w:tab/>
            </w:r>
            <w:r w:rsidR="009049E1">
              <w:rPr>
                <w:webHidden/>
              </w:rPr>
              <w:fldChar w:fldCharType="begin"/>
            </w:r>
            <w:r w:rsidR="009049E1">
              <w:rPr>
                <w:webHidden/>
              </w:rPr>
              <w:instrText xml:space="preserve"> PAGEREF _Toc429555815 \h </w:instrText>
            </w:r>
            <w:r w:rsidR="009049E1">
              <w:rPr>
                <w:webHidden/>
              </w:rPr>
            </w:r>
            <w:r w:rsidR="009049E1">
              <w:rPr>
                <w:webHidden/>
              </w:rPr>
              <w:fldChar w:fldCharType="separate"/>
            </w:r>
            <w:r>
              <w:rPr>
                <w:webHidden/>
              </w:rPr>
              <w:t>33</w:t>
            </w:r>
            <w:r w:rsidR="009049E1">
              <w:rPr>
                <w:webHidden/>
              </w:rPr>
              <w:fldChar w:fldCharType="end"/>
            </w:r>
          </w:hyperlink>
        </w:p>
        <w:p w14:paraId="61A3AED5" w14:textId="77777777" w:rsidR="009049E1" w:rsidRDefault="00246821">
          <w:pPr>
            <w:pStyle w:val="TOC2"/>
            <w:rPr>
              <w:rFonts w:asciiTheme="minorHAnsi" w:eastAsiaTheme="minorEastAsia" w:hAnsiTheme="minorHAnsi" w:cstheme="minorBidi"/>
              <w:noProof/>
              <w:sz w:val="22"/>
              <w:szCs w:val="22"/>
              <w:lang w:eastAsia="en-GB"/>
            </w:rPr>
          </w:pPr>
          <w:hyperlink w:anchor="_Toc429555816" w:history="1">
            <w:r w:rsidR="009049E1" w:rsidRPr="00673B70">
              <w:rPr>
                <w:rStyle w:val="Hyperlink"/>
                <w:rFonts w:eastAsiaTheme="majorEastAsia"/>
                <w:noProof/>
                <w:lang w:eastAsia="en-GB"/>
              </w:rPr>
              <w:t>Location – proximity to home</w:t>
            </w:r>
            <w:r w:rsidR="009049E1">
              <w:rPr>
                <w:noProof/>
                <w:webHidden/>
              </w:rPr>
              <w:tab/>
            </w:r>
            <w:r w:rsidR="009049E1">
              <w:rPr>
                <w:noProof/>
                <w:webHidden/>
              </w:rPr>
              <w:fldChar w:fldCharType="begin"/>
            </w:r>
            <w:r w:rsidR="009049E1">
              <w:rPr>
                <w:noProof/>
                <w:webHidden/>
              </w:rPr>
              <w:instrText xml:space="preserve"> PAGEREF _Toc429555816 \h </w:instrText>
            </w:r>
            <w:r w:rsidR="009049E1">
              <w:rPr>
                <w:noProof/>
                <w:webHidden/>
              </w:rPr>
            </w:r>
            <w:r w:rsidR="009049E1">
              <w:rPr>
                <w:noProof/>
                <w:webHidden/>
              </w:rPr>
              <w:fldChar w:fldCharType="separate"/>
            </w:r>
            <w:r>
              <w:rPr>
                <w:noProof/>
                <w:webHidden/>
              </w:rPr>
              <w:t>33</w:t>
            </w:r>
            <w:r w:rsidR="009049E1">
              <w:rPr>
                <w:noProof/>
                <w:webHidden/>
              </w:rPr>
              <w:fldChar w:fldCharType="end"/>
            </w:r>
          </w:hyperlink>
        </w:p>
        <w:p w14:paraId="5F771D75" w14:textId="77777777" w:rsidR="009049E1" w:rsidRDefault="00246821">
          <w:pPr>
            <w:pStyle w:val="TOC2"/>
            <w:rPr>
              <w:rFonts w:asciiTheme="minorHAnsi" w:eastAsiaTheme="minorEastAsia" w:hAnsiTheme="minorHAnsi" w:cstheme="minorBidi"/>
              <w:noProof/>
              <w:sz w:val="22"/>
              <w:szCs w:val="22"/>
              <w:lang w:eastAsia="en-GB"/>
            </w:rPr>
          </w:pPr>
          <w:hyperlink w:anchor="_Toc429555817" w:history="1">
            <w:r w:rsidR="009049E1" w:rsidRPr="00673B70">
              <w:rPr>
                <w:rStyle w:val="Hyperlink"/>
                <w:rFonts w:eastAsiaTheme="majorEastAsia"/>
                <w:noProof/>
                <w:lang w:eastAsia="en-GB"/>
              </w:rPr>
              <w:t>Size of prisons</w:t>
            </w:r>
            <w:r w:rsidR="009049E1">
              <w:rPr>
                <w:noProof/>
                <w:webHidden/>
              </w:rPr>
              <w:tab/>
            </w:r>
            <w:r w:rsidR="009049E1">
              <w:rPr>
                <w:noProof/>
                <w:webHidden/>
              </w:rPr>
              <w:fldChar w:fldCharType="begin"/>
            </w:r>
            <w:r w:rsidR="009049E1">
              <w:rPr>
                <w:noProof/>
                <w:webHidden/>
              </w:rPr>
              <w:instrText xml:space="preserve"> PAGEREF _Toc429555817 \h </w:instrText>
            </w:r>
            <w:r w:rsidR="009049E1">
              <w:rPr>
                <w:noProof/>
                <w:webHidden/>
              </w:rPr>
            </w:r>
            <w:r w:rsidR="009049E1">
              <w:rPr>
                <w:noProof/>
                <w:webHidden/>
              </w:rPr>
              <w:fldChar w:fldCharType="separate"/>
            </w:r>
            <w:r>
              <w:rPr>
                <w:noProof/>
                <w:webHidden/>
              </w:rPr>
              <w:t>34</w:t>
            </w:r>
            <w:r w:rsidR="009049E1">
              <w:rPr>
                <w:noProof/>
                <w:webHidden/>
              </w:rPr>
              <w:fldChar w:fldCharType="end"/>
            </w:r>
          </w:hyperlink>
        </w:p>
        <w:p w14:paraId="77B209E9" w14:textId="77777777" w:rsidR="009049E1" w:rsidRDefault="00246821">
          <w:pPr>
            <w:pStyle w:val="TOC2"/>
            <w:rPr>
              <w:rFonts w:asciiTheme="minorHAnsi" w:eastAsiaTheme="minorEastAsia" w:hAnsiTheme="minorHAnsi" w:cstheme="minorBidi"/>
              <w:noProof/>
              <w:sz w:val="22"/>
              <w:szCs w:val="22"/>
              <w:lang w:eastAsia="en-GB"/>
            </w:rPr>
          </w:pPr>
          <w:hyperlink w:anchor="_Toc429555818" w:history="1">
            <w:r w:rsidR="009049E1" w:rsidRPr="00673B70">
              <w:rPr>
                <w:rStyle w:val="Hyperlink"/>
                <w:rFonts w:eastAsiaTheme="majorEastAsia"/>
                <w:noProof/>
                <w:lang w:eastAsia="en-GB"/>
              </w:rPr>
              <w:t>Prison design</w:t>
            </w:r>
            <w:r w:rsidR="009049E1">
              <w:rPr>
                <w:noProof/>
                <w:webHidden/>
              </w:rPr>
              <w:tab/>
            </w:r>
            <w:r w:rsidR="009049E1">
              <w:rPr>
                <w:noProof/>
                <w:webHidden/>
              </w:rPr>
              <w:fldChar w:fldCharType="begin"/>
            </w:r>
            <w:r w:rsidR="009049E1">
              <w:rPr>
                <w:noProof/>
                <w:webHidden/>
              </w:rPr>
              <w:instrText xml:space="preserve"> PAGEREF _Toc429555818 \h </w:instrText>
            </w:r>
            <w:r w:rsidR="009049E1">
              <w:rPr>
                <w:noProof/>
                <w:webHidden/>
              </w:rPr>
            </w:r>
            <w:r w:rsidR="009049E1">
              <w:rPr>
                <w:noProof/>
                <w:webHidden/>
              </w:rPr>
              <w:fldChar w:fldCharType="separate"/>
            </w:r>
            <w:r>
              <w:rPr>
                <w:noProof/>
                <w:webHidden/>
              </w:rPr>
              <w:t>34</w:t>
            </w:r>
            <w:r w:rsidR="009049E1">
              <w:rPr>
                <w:noProof/>
                <w:webHidden/>
              </w:rPr>
              <w:fldChar w:fldCharType="end"/>
            </w:r>
          </w:hyperlink>
        </w:p>
        <w:p w14:paraId="04332BE1" w14:textId="77777777" w:rsidR="009049E1" w:rsidRDefault="00246821">
          <w:pPr>
            <w:pStyle w:val="TOC2"/>
            <w:rPr>
              <w:rFonts w:asciiTheme="minorHAnsi" w:eastAsiaTheme="minorEastAsia" w:hAnsiTheme="minorHAnsi" w:cstheme="minorBidi"/>
              <w:noProof/>
              <w:sz w:val="22"/>
              <w:szCs w:val="22"/>
              <w:lang w:eastAsia="en-GB"/>
            </w:rPr>
          </w:pPr>
          <w:hyperlink w:anchor="_Toc429555819" w:history="1">
            <w:r w:rsidR="009049E1" w:rsidRPr="00673B70">
              <w:rPr>
                <w:rStyle w:val="Hyperlink"/>
                <w:rFonts w:eastAsiaTheme="majorEastAsia"/>
                <w:noProof/>
                <w:lang w:eastAsia="en-GB"/>
              </w:rPr>
              <w:t>Security</w:t>
            </w:r>
            <w:r w:rsidR="009049E1">
              <w:rPr>
                <w:noProof/>
                <w:webHidden/>
              </w:rPr>
              <w:tab/>
            </w:r>
            <w:r w:rsidR="009049E1">
              <w:rPr>
                <w:noProof/>
                <w:webHidden/>
              </w:rPr>
              <w:fldChar w:fldCharType="begin"/>
            </w:r>
            <w:r w:rsidR="009049E1">
              <w:rPr>
                <w:noProof/>
                <w:webHidden/>
              </w:rPr>
              <w:instrText xml:space="preserve"> PAGEREF _Toc429555819 \h </w:instrText>
            </w:r>
            <w:r w:rsidR="009049E1">
              <w:rPr>
                <w:noProof/>
                <w:webHidden/>
              </w:rPr>
            </w:r>
            <w:r w:rsidR="009049E1">
              <w:rPr>
                <w:noProof/>
                <w:webHidden/>
              </w:rPr>
              <w:fldChar w:fldCharType="separate"/>
            </w:r>
            <w:r>
              <w:rPr>
                <w:noProof/>
                <w:webHidden/>
              </w:rPr>
              <w:t>35</w:t>
            </w:r>
            <w:r w:rsidR="009049E1">
              <w:rPr>
                <w:noProof/>
                <w:webHidden/>
              </w:rPr>
              <w:fldChar w:fldCharType="end"/>
            </w:r>
          </w:hyperlink>
        </w:p>
        <w:p w14:paraId="3A271082" w14:textId="77777777" w:rsidR="009049E1" w:rsidRDefault="00246821">
          <w:pPr>
            <w:pStyle w:val="TOC2"/>
            <w:rPr>
              <w:rFonts w:asciiTheme="minorHAnsi" w:eastAsiaTheme="minorEastAsia" w:hAnsiTheme="minorHAnsi" w:cstheme="minorBidi"/>
              <w:noProof/>
              <w:sz w:val="22"/>
              <w:szCs w:val="22"/>
              <w:lang w:eastAsia="en-GB"/>
            </w:rPr>
          </w:pPr>
          <w:hyperlink w:anchor="_Toc429555820" w:history="1">
            <w:r w:rsidR="009049E1" w:rsidRPr="00673B70">
              <w:rPr>
                <w:rStyle w:val="Hyperlink"/>
                <w:rFonts w:eastAsiaTheme="majorEastAsia"/>
                <w:noProof/>
                <w:lang w:eastAsia="en-GB"/>
              </w:rPr>
              <w:t>Healthcare</w:t>
            </w:r>
            <w:r w:rsidR="009049E1">
              <w:rPr>
                <w:noProof/>
                <w:webHidden/>
              </w:rPr>
              <w:tab/>
            </w:r>
            <w:r w:rsidR="009049E1">
              <w:rPr>
                <w:noProof/>
                <w:webHidden/>
              </w:rPr>
              <w:fldChar w:fldCharType="begin"/>
            </w:r>
            <w:r w:rsidR="009049E1">
              <w:rPr>
                <w:noProof/>
                <w:webHidden/>
              </w:rPr>
              <w:instrText xml:space="preserve"> PAGEREF _Toc429555820 \h </w:instrText>
            </w:r>
            <w:r w:rsidR="009049E1">
              <w:rPr>
                <w:noProof/>
                <w:webHidden/>
              </w:rPr>
            </w:r>
            <w:r w:rsidR="009049E1">
              <w:rPr>
                <w:noProof/>
                <w:webHidden/>
              </w:rPr>
              <w:fldChar w:fldCharType="separate"/>
            </w:r>
            <w:r>
              <w:rPr>
                <w:noProof/>
                <w:webHidden/>
              </w:rPr>
              <w:t>35</w:t>
            </w:r>
            <w:r w:rsidR="009049E1">
              <w:rPr>
                <w:noProof/>
                <w:webHidden/>
              </w:rPr>
              <w:fldChar w:fldCharType="end"/>
            </w:r>
          </w:hyperlink>
        </w:p>
        <w:p w14:paraId="07B126CB" w14:textId="77777777" w:rsidR="009049E1" w:rsidRDefault="00246821">
          <w:pPr>
            <w:pStyle w:val="TOC2"/>
            <w:rPr>
              <w:rFonts w:asciiTheme="minorHAnsi" w:eastAsiaTheme="minorEastAsia" w:hAnsiTheme="minorHAnsi" w:cstheme="minorBidi"/>
              <w:noProof/>
              <w:sz w:val="22"/>
              <w:szCs w:val="22"/>
              <w:lang w:eastAsia="en-GB"/>
            </w:rPr>
          </w:pPr>
          <w:hyperlink w:anchor="_Toc429555821" w:history="1">
            <w:r w:rsidR="009049E1" w:rsidRPr="00673B70">
              <w:rPr>
                <w:rStyle w:val="Hyperlink"/>
                <w:rFonts w:eastAsiaTheme="majorEastAsia"/>
                <w:noProof/>
                <w:lang w:eastAsia="en-GB"/>
              </w:rPr>
              <w:t>Financial costs</w:t>
            </w:r>
            <w:r w:rsidR="009049E1">
              <w:rPr>
                <w:noProof/>
                <w:webHidden/>
              </w:rPr>
              <w:tab/>
            </w:r>
            <w:r w:rsidR="009049E1">
              <w:rPr>
                <w:noProof/>
                <w:webHidden/>
              </w:rPr>
              <w:fldChar w:fldCharType="begin"/>
            </w:r>
            <w:r w:rsidR="009049E1">
              <w:rPr>
                <w:noProof/>
                <w:webHidden/>
              </w:rPr>
              <w:instrText xml:space="preserve"> PAGEREF _Toc429555821 \h </w:instrText>
            </w:r>
            <w:r w:rsidR="009049E1">
              <w:rPr>
                <w:noProof/>
                <w:webHidden/>
              </w:rPr>
            </w:r>
            <w:r w:rsidR="009049E1">
              <w:rPr>
                <w:noProof/>
                <w:webHidden/>
              </w:rPr>
              <w:fldChar w:fldCharType="separate"/>
            </w:r>
            <w:r>
              <w:rPr>
                <w:noProof/>
                <w:webHidden/>
              </w:rPr>
              <w:t>36</w:t>
            </w:r>
            <w:r w:rsidR="009049E1">
              <w:rPr>
                <w:noProof/>
                <w:webHidden/>
              </w:rPr>
              <w:fldChar w:fldCharType="end"/>
            </w:r>
          </w:hyperlink>
        </w:p>
        <w:p w14:paraId="3229EBE0" w14:textId="77777777" w:rsidR="009049E1" w:rsidRDefault="00246821">
          <w:pPr>
            <w:pStyle w:val="TOC2"/>
            <w:rPr>
              <w:rFonts w:asciiTheme="minorHAnsi" w:eastAsiaTheme="minorEastAsia" w:hAnsiTheme="minorHAnsi" w:cstheme="minorBidi"/>
              <w:noProof/>
              <w:sz w:val="22"/>
              <w:szCs w:val="22"/>
              <w:lang w:eastAsia="en-GB"/>
            </w:rPr>
          </w:pPr>
          <w:hyperlink w:anchor="_Toc429555822" w:history="1">
            <w:r w:rsidR="009049E1" w:rsidRPr="00673B70">
              <w:rPr>
                <w:rStyle w:val="Hyperlink"/>
                <w:rFonts w:eastAsiaTheme="majorEastAsia"/>
                <w:noProof/>
                <w:lang w:eastAsia="en-GB"/>
              </w:rPr>
              <w:t>Regimes and reforms</w:t>
            </w:r>
            <w:r w:rsidR="009049E1">
              <w:rPr>
                <w:noProof/>
                <w:webHidden/>
              </w:rPr>
              <w:tab/>
            </w:r>
            <w:r w:rsidR="009049E1">
              <w:rPr>
                <w:noProof/>
                <w:webHidden/>
              </w:rPr>
              <w:fldChar w:fldCharType="begin"/>
            </w:r>
            <w:r w:rsidR="009049E1">
              <w:rPr>
                <w:noProof/>
                <w:webHidden/>
              </w:rPr>
              <w:instrText xml:space="preserve"> PAGEREF _Toc429555822 \h </w:instrText>
            </w:r>
            <w:r w:rsidR="009049E1">
              <w:rPr>
                <w:noProof/>
                <w:webHidden/>
              </w:rPr>
            </w:r>
            <w:r w:rsidR="009049E1">
              <w:rPr>
                <w:noProof/>
                <w:webHidden/>
              </w:rPr>
              <w:fldChar w:fldCharType="separate"/>
            </w:r>
            <w:r>
              <w:rPr>
                <w:noProof/>
                <w:webHidden/>
              </w:rPr>
              <w:t>36</w:t>
            </w:r>
            <w:r w:rsidR="009049E1">
              <w:rPr>
                <w:noProof/>
                <w:webHidden/>
              </w:rPr>
              <w:fldChar w:fldCharType="end"/>
            </w:r>
          </w:hyperlink>
        </w:p>
        <w:p w14:paraId="0D4AB7B6" w14:textId="77777777" w:rsidR="009049E1" w:rsidRDefault="00246821">
          <w:pPr>
            <w:pStyle w:val="TOC2"/>
            <w:rPr>
              <w:rFonts w:asciiTheme="minorHAnsi" w:eastAsiaTheme="minorEastAsia" w:hAnsiTheme="minorHAnsi" w:cstheme="minorBidi"/>
              <w:noProof/>
              <w:sz w:val="22"/>
              <w:szCs w:val="22"/>
              <w:lang w:eastAsia="en-GB"/>
            </w:rPr>
          </w:pPr>
          <w:hyperlink w:anchor="_Toc429555823" w:history="1">
            <w:r w:rsidR="009049E1" w:rsidRPr="00673B70">
              <w:rPr>
                <w:rStyle w:val="Hyperlink"/>
                <w:rFonts w:eastAsiaTheme="majorEastAsia"/>
                <w:noProof/>
              </w:rPr>
              <w:t>Performance management</w:t>
            </w:r>
            <w:r w:rsidR="009049E1">
              <w:rPr>
                <w:noProof/>
                <w:webHidden/>
              </w:rPr>
              <w:tab/>
            </w:r>
            <w:r w:rsidR="009049E1">
              <w:rPr>
                <w:noProof/>
                <w:webHidden/>
              </w:rPr>
              <w:fldChar w:fldCharType="begin"/>
            </w:r>
            <w:r w:rsidR="009049E1">
              <w:rPr>
                <w:noProof/>
                <w:webHidden/>
              </w:rPr>
              <w:instrText xml:space="preserve"> PAGEREF _Toc429555823 \h </w:instrText>
            </w:r>
            <w:r w:rsidR="009049E1">
              <w:rPr>
                <w:noProof/>
                <w:webHidden/>
              </w:rPr>
            </w:r>
            <w:r w:rsidR="009049E1">
              <w:rPr>
                <w:noProof/>
                <w:webHidden/>
              </w:rPr>
              <w:fldChar w:fldCharType="separate"/>
            </w:r>
            <w:r>
              <w:rPr>
                <w:noProof/>
                <w:webHidden/>
              </w:rPr>
              <w:t>36</w:t>
            </w:r>
            <w:r w:rsidR="009049E1">
              <w:rPr>
                <w:noProof/>
                <w:webHidden/>
              </w:rPr>
              <w:fldChar w:fldCharType="end"/>
            </w:r>
          </w:hyperlink>
        </w:p>
        <w:p w14:paraId="0676719A" w14:textId="77777777" w:rsidR="009049E1" w:rsidRDefault="00246821">
          <w:pPr>
            <w:pStyle w:val="TOC2"/>
            <w:rPr>
              <w:rFonts w:asciiTheme="minorHAnsi" w:eastAsiaTheme="minorEastAsia" w:hAnsiTheme="minorHAnsi" w:cstheme="minorBidi"/>
              <w:noProof/>
              <w:sz w:val="22"/>
              <w:szCs w:val="22"/>
              <w:lang w:eastAsia="en-GB"/>
            </w:rPr>
          </w:pPr>
          <w:hyperlink w:anchor="_Toc429555824" w:history="1">
            <w:r w:rsidR="009049E1" w:rsidRPr="00673B70">
              <w:rPr>
                <w:rStyle w:val="Hyperlink"/>
                <w:rFonts w:eastAsiaTheme="majorEastAsia"/>
                <w:noProof/>
                <w:lang w:eastAsia="en-GB"/>
              </w:rPr>
              <w:t>Reintegration into the community</w:t>
            </w:r>
            <w:r w:rsidR="009049E1">
              <w:rPr>
                <w:noProof/>
                <w:webHidden/>
              </w:rPr>
              <w:tab/>
            </w:r>
            <w:r w:rsidR="009049E1">
              <w:rPr>
                <w:noProof/>
                <w:webHidden/>
              </w:rPr>
              <w:fldChar w:fldCharType="begin"/>
            </w:r>
            <w:r w:rsidR="009049E1">
              <w:rPr>
                <w:noProof/>
                <w:webHidden/>
              </w:rPr>
              <w:instrText xml:space="preserve"> PAGEREF _Toc429555824 \h </w:instrText>
            </w:r>
            <w:r w:rsidR="009049E1">
              <w:rPr>
                <w:noProof/>
                <w:webHidden/>
              </w:rPr>
            </w:r>
            <w:r w:rsidR="009049E1">
              <w:rPr>
                <w:noProof/>
                <w:webHidden/>
              </w:rPr>
              <w:fldChar w:fldCharType="separate"/>
            </w:r>
            <w:r>
              <w:rPr>
                <w:noProof/>
                <w:webHidden/>
              </w:rPr>
              <w:t>37</w:t>
            </w:r>
            <w:r w:rsidR="009049E1">
              <w:rPr>
                <w:noProof/>
                <w:webHidden/>
              </w:rPr>
              <w:fldChar w:fldCharType="end"/>
            </w:r>
          </w:hyperlink>
        </w:p>
        <w:p w14:paraId="08F0C211" w14:textId="77777777" w:rsidR="009049E1" w:rsidRDefault="00246821">
          <w:pPr>
            <w:pStyle w:val="TOC2"/>
            <w:rPr>
              <w:rFonts w:asciiTheme="minorHAnsi" w:eastAsiaTheme="minorEastAsia" w:hAnsiTheme="minorHAnsi" w:cstheme="minorBidi"/>
              <w:noProof/>
              <w:sz w:val="22"/>
              <w:szCs w:val="22"/>
              <w:lang w:eastAsia="en-GB"/>
            </w:rPr>
          </w:pPr>
          <w:hyperlink w:anchor="_Toc429555825" w:history="1">
            <w:r w:rsidR="009049E1" w:rsidRPr="00673B70">
              <w:rPr>
                <w:rStyle w:val="Hyperlink"/>
                <w:rFonts w:eastAsiaTheme="majorEastAsia"/>
                <w:noProof/>
              </w:rPr>
              <w:t>Sentencing practice and alternatives to custody</w:t>
            </w:r>
            <w:r w:rsidR="009049E1">
              <w:rPr>
                <w:noProof/>
                <w:webHidden/>
              </w:rPr>
              <w:tab/>
            </w:r>
            <w:r w:rsidR="009049E1">
              <w:rPr>
                <w:noProof/>
                <w:webHidden/>
              </w:rPr>
              <w:fldChar w:fldCharType="begin"/>
            </w:r>
            <w:r w:rsidR="009049E1">
              <w:rPr>
                <w:noProof/>
                <w:webHidden/>
              </w:rPr>
              <w:instrText xml:space="preserve"> PAGEREF _Toc429555825 \h </w:instrText>
            </w:r>
            <w:r w:rsidR="009049E1">
              <w:rPr>
                <w:noProof/>
                <w:webHidden/>
              </w:rPr>
            </w:r>
            <w:r w:rsidR="009049E1">
              <w:rPr>
                <w:noProof/>
                <w:webHidden/>
              </w:rPr>
              <w:fldChar w:fldCharType="separate"/>
            </w:r>
            <w:r>
              <w:rPr>
                <w:noProof/>
                <w:webHidden/>
              </w:rPr>
              <w:t>37</w:t>
            </w:r>
            <w:r w:rsidR="009049E1">
              <w:rPr>
                <w:noProof/>
                <w:webHidden/>
              </w:rPr>
              <w:fldChar w:fldCharType="end"/>
            </w:r>
          </w:hyperlink>
        </w:p>
        <w:p w14:paraId="1751C498" w14:textId="77777777" w:rsidR="009049E1" w:rsidRDefault="00246821">
          <w:pPr>
            <w:pStyle w:val="TOC2"/>
            <w:rPr>
              <w:rFonts w:asciiTheme="minorHAnsi" w:eastAsiaTheme="minorEastAsia" w:hAnsiTheme="minorHAnsi" w:cstheme="minorBidi"/>
              <w:noProof/>
              <w:sz w:val="22"/>
              <w:szCs w:val="22"/>
              <w:lang w:eastAsia="en-GB"/>
            </w:rPr>
          </w:pPr>
          <w:hyperlink w:anchor="_Toc429555826" w:history="1">
            <w:r w:rsidR="009049E1" w:rsidRPr="00673B70">
              <w:rPr>
                <w:rStyle w:val="Hyperlink"/>
                <w:rFonts w:eastAsiaTheme="majorEastAsia"/>
                <w:noProof/>
              </w:rPr>
              <w:t>Public acceptability</w:t>
            </w:r>
            <w:r w:rsidR="009049E1">
              <w:rPr>
                <w:noProof/>
                <w:webHidden/>
              </w:rPr>
              <w:tab/>
            </w:r>
            <w:r w:rsidR="009049E1">
              <w:rPr>
                <w:noProof/>
                <w:webHidden/>
              </w:rPr>
              <w:fldChar w:fldCharType="begin"/>
            </w:r>
            <w:r w:rsidR="009049E1">
              <w:rPr>
                <w:noProof/>
                <w:webHidden/>
              </w:rPr>
              <w:instrText xml:space="preserve"> PAGEREF _Toc429555826 \h </w:instrText>
            </w:r>
            <w:r w:rsidR="009049E1">
              <w:rPr>
                <w:noProof/>
                <w:webHidden/>
              </w:rPr>
            </w:r>
            <w:r w:rsidR="009049E1">
              <w:rPr>
                <w:noProof/>
                <w:webHidden/>
              </w:rPr>
              <w:fldChar w:fldCharType="separate"/>
            </w:r>
            <w:r>
              <w:rPr>
                <w:noProof/>
                <w:webHidden/>
              </w:rPr>
              <w:t>39</w:t>
            </w:r>
            <w:r w:rsidR="009049E1">
              <w:rPr>
                <w:noProof/>
                <w:webHidden/>
              </w:rPr>
              <w:fldChar w:fldCharType="end"/>
            </w:r>
          </w:hyperlink>
        </w:p>
        <w:p w14:paraId="36EFBA76" w14:textId="77777777" w:rsidR="009049E1" w:rsidRDefault="00246821">
          <w:pPr>
            <w:pStyle w:val="TOC2"/>
            <w:rPr>
              <w:rFonts w:asciiTheme="minorHAnsi" w:eastAsiaTheme="minorEastAsia" w:hAnsiTheme="minorHAnsi" w:cstheme="minorBidi"/>
              <w:noProof/>
              <w:sz w:val="22"/>
              <w:szCs w:val="22"/>
              <w:lang w:eastAsia="en-GB"/>
            </w:rPr>
          </w:pPr>
          <w:hyperlink w:anchor="_Toc429555827" w:history="1">
            <w:r w:rsidR="009049E1" w:rsidRPr="00673B70">
              <w:rPr>
                <w:rStyle w:val="Hyperlink"/>
                <w:rFonts w:eastAsiaTheme="majorEastAsia"/>
                <w:noProof/>
                <w:lang w:eastAsia="en-GB"/>
              </w:rPr>
              <w:t>Visits</w:t>
            </w:r>
            <w:r w:rsidR="009049E1">
              <w:rPr>
                <w:noProof/>
                <w:webHidden/>
              </w:rPr>
              <w:tab/>
            </w:r>
            <w:r w:rsidR="009049E1">
              <w:rPr>
                <w:noProof/>
                <w:webHidden/>
              </w:rPr>
              <w:fldChar w:fldCharType="begin"/>
            </w:r>
            <w:r w:rsidR="009049E1">
              <w:rPr>
                <w:noProof/>
                <w:webHidden/>
              </w:rPr>
              <w:instrText xml:space="preserve"> PAGEREF _Toc429555827 \h </w:instrText>
            </w:r>
            <w:r w:rsidR="009049E1">
              <w:rPr>
                <w:noProof/>
                <w:webHidden/>
              </w:rPr>
            </w:r>
            <w:r w:rsidR="009049E1">
              <w:rPr>
                <w:noProof/>
                <w:webHidden/>
              </w:rPr>
              <w:fldChar w:fldCharType="separate"/>
            </w:r>
            <w:r>
              <w:rPr>
                <w:noProof/>
                <w:webHidden/>
              </w:rPr>
              <w:t>40</w:t>
            </w:r>
            <w:r w:rsidR="009049E1">
              <w:rPr>
                <w:noProof/>
                <w:webHidden/>
              </w:rPr>
              <w:fldChar w:fldCharType="end"/>
            </w:r>
          </w:hyperlink>
        </w:p>
        <w:p w14:paraId="25D10009" w14:textId="77777777" w:rsidR="009049E1" w:rsidRDefault="00246821">
          <w:pPr>
            <w:pStyle w:val="TOC2"/>
            <w:rPr>
              <w:rFonts w:asciiTheme="minorHAnsi" w:eastAsiaTheme="minorEastAsia" w:hAnsiTheme="minorHAnsi" w:cstheme="minorBidi"/>
              <w:noProof/>
              <w:sz w:val="22"/>
              <w:szCs w:val="22"/>
              <w:lang w:eastAsia="en-GB"/>
            </w:rPr>
          </w:pPr>
          <w:hyperlink w:anchor="_Toc429555828" w:history="1">
            <w:r w:rsidR="009049E1" w:rsidRPr="00673B70">
              <w:rPr>
                <w:rStyle w:val="Hyperlink"/>
                <w:rFonts w:eastAsiaTheme="majorEastAsia"/>
                <w:noProof/>
              </w:rPr>
              <w:t>Maintaining links with children and family</w:t>
            </w:r>
            <w:r w:rsidR="009049E1">
              <w:rPr>
                <w:noProof/>
                <w:webHidden/>
              </w:rPr>
              <w:tab/>
            </w:r>
            <w:r w:rsidR="009049E1">
              <w:rPr>
                <w:noProof/>
                <w:webHidden/>
              </w:rPr>
              <w:fldChar w:fldCharType="begin"/>
            </w:r>
            <w:r w:rsidR="009049E1">
              <w:rPr>
                <w:noProof/>
                <w:webHidden/>
              </w:rPr>
              <w:instrText xml:space="preserve"> PAGEREF _Toc429555828 \h </w:instrText>
            </w:r>
            <w:r w:rsidR="009049E1">
              <w:rPr>
                <w:noProof/>
                <w:webHidden/>
              </w:rPr>
            </w:r>
            <w:r w:rsidR="009049E1">
              <w:rPr>
                <w:noProof/>
                <w:webHidden/>
              </w:rPr>
              <w:fldChar w:fldCharType="separate"/>
            </w:r>
            <w:r>
              <w:rPr>
                <w:noProof/>
                <w:webHidden/>
              </w:rPr>
              <w:t>40</w:t>
            </w:r>
            <w:r w:rsidR="009049E1">
              <w:rPr>
                <w:noProof/>
                <w:webHidden/>
              </w:rPr>
              <w:fldChar w:fldCharType="end"/>
            </w:r>
          </w:hyperlink>
        </w:p>
        <w:p w14:paraId="5DFB1177" w14:textId="77777777" w:rsidR="009049E1" w:rsidRDefault="00246821">
          <w:pPr>
            <w:pStyle w:val="TOC1"/>
            <w:tabs>
              <w:tab w:val="left" w:pos="567"/>
            </w:tabs>
            <w:rPr>
              <w:rFonts w:asciiTheme="minorHAnsi" w:eastAsiaTheme="minorEastAsia" w:hAnsiTheme="minorHAnsi" w:cstheme="minorBidi"/>
              <w:b w:val="0"/>
              <w:sz w:val="22"/>
              <w:szCs w:val="22"/>
              <w:lang w:eastAsia="en-GB"/>
            </w:rPr>
          </w:pPr>
          <w:hyperlink w:anchor="_Toc429555829" w:history="1">
            <w:r w:rsidR="009049E1" w:rsidRPr="00673B70">
              <w:rPr>
                <w:rStyle w:val="Hyperlink"/>
                <w:rFonts w:eastAsiaTheme="majorEastAsia"/>
              </w:rPr>
              <w:t>9.</w:t>
            </w:r>
            <w:r w:rsidR="009049E1">
              <w:rPr>
                <w:rFonts w:asciiTheme="minorHAnsi" w:eastAsiaTheme="minorEastAsia" w:hAnsiTheme="minorHAnsi" w:cstheme="minorBidi"/>
                <w:b w:val="0"/>
                <w:sz w:val="22"/>
                <w:szCs w:val="22"/>
                <w:lang w:eastAsia="en-GB"/>
              </w:rPr>
              <w:tab/>
            </w:r>
            <w:r w:rsidR="009049E1" w:rsidRPr="00673B70">
              <w:rPr>
                <w:rStyle w:val="Hyperlink"/>
                <w:rFonts w:eastAsiaTheme="majorEastAsia"/>
              </w:rPr>
              <w:t>Risks and Further Considerations</w:t>
            </w:r>
            <w:r w:rsidR="009049E1">
              <w:rPr>
                <w:webHidden/>
              </w:rPr>
              <w:tab/>
            </w:r>
            <w:r w:rsidR="009049E1">
              <w:rPr>
                <w:webHidden/>
              </w:rPr>
              <w:fldChar w:fldCharType="begin"/>
            </w:r>
            <w:r w:rsidR="009049E1">
              <w:rPr>
                <w:webHidden/>
              </w:rPr>
              <w:instrText xml:space="preserve"> PAGEREF _Toc429555829 \h </w:instrText>
            </w:r>
            <w:r w:rsidR="009049E1">
              <w:rPr>
                <w:webHidden/>
              </w:rPr>
            </w:r>
            <w:r w:rsidR="009049E1">
              <w:rPr>
                <w:webHidden/>
              </w:rPr>
              <w:fldChar w:fldCharType="separate"/>
            </w:r>
            <w:r>
              <w:rPr>
                <w:webHidden/>
              </w:rPr>
              <w:t>47</w:t>
            </w:r>
            <w:r w:rsidR="009049E1">
              <w:rPr>
                <w:webHidden/>
              </w:rPr>
              <w:fldChar w:fldCharType="end"/>
            </w:r>
          </w:hyperlink>
        </w:p>
        <w:p w14:paraId="03D9E4EA" w14:textId="77777777" w:rsidR="009049E1" w:rsidRDefault="00246821">
          <w:pPr>
            <w:pStyle w:val="TOC1"/>
            <w:tabs>
              <w:tab w:val="left" w:pos="660"/>
            </w:tabs>
            <w:rPr>
              <w:rFonts w:asciiTheme="minorHAnsi" w:eastAsiaTheme="minorEastAsia" w:hAnsiTheme="minorHAnsi" w:cstheme="minorBidi"/>
              <w:b w:val="0"/>
              <w:sz w:val="22"/>
              <w:szCs w:val="22"/>
              <w:lang w:eastAsia="en-GB"/>
            </w:rPr>
          </w:pPr>
          <w:hyperlink w:anchor="_Toc429555830" w:history="1">
            <w:r w:rsidR="009049E1" w:rsidRPr="00673B70">
              <w:rPr>
                <w:rStyle w:val="Hyperlink"/>
                <w:rFonts w:eastAsiaTheme="majorEastAsia"/>
              </w:rPr>
              <w:t>10.</w:t>
            </w:r>
            <w:r w:rsidR="009049E1">
              <w:rPr>
                <w:rFonts w:asciiTheme="minorHAnsi" w:eastAsiaTheme="minorEastAsia" w:hAnsiTheme="minorHAnsi" w:cstheme="minorBidi"/>
                <w:b w:val="0"/>
                <w:sz w:val="22"/>
                <w:szCs w:val="22"/>
                <w:lang w:eastAsia="en-GB"/>
              </w:rPr>
              <w:tab/>
            </w:r>
            <w:r w:rsidR="009049E1" w:rsidRPr="00673B70">
              <w:rPr>
                <w:rStyle w:val="Hyperlink"/>
                <w:rFonts w:eastAsiaTheme="majorEastAsia"/>
              </w:rPr>
              <w:t>Redefining Custody?</w:t>
            </w:r>
            <w:r w:rsidR="009049E1">
              <w:rPr>
                <w:webHidden/>
              </w:rPr>
              <w:tab/>
            </w:r>
            <w:r w:rsidR="009049E1">
              <w:rPr>
                <w:webHidden/>
              </w:rPr>
              <w:fldChar w:fldCharType="begin"/>
            </w:r>
            <w:r w:rsidR="009049E1">
              <w:rPr>
                <w:webHidden/>
              </w:rPr>
              <w:instrText xml:space="preserve"> PAGEREF _Toc429555830 \h </w:instrText>
            </w:r>
            <w:r w:rsidR="009049E1">
              <w:rPr>
                <w:webHidden/>
              </w:rPr>
            </w:r>
            <w:r w:rsidR="009049E1">
              <w:rPr>
                <w:webHidden/>
              </w:rPr>
              <w:fldChar w:fldCharType="separate"/>
            </w:r>
            <w:r>
              <w:rPr>
                <w:webHidden/>
              </w:rPr>
              <w:t>49</w:t>
            </w:r>
            <w:r w:rsidR="009049E1">
              <w:rPr>
                <w:webHidden/>
              </w:rPr>
              <w:fldChar w:fldCharType="end"/>
            </w:r>
          </w:hyperlink>
        </w:p>
        <w:p w14:paraId="592FA0F3" w14:textId="77777777" w:rsidR="009049E1" w:rsidRDefault="00246821">
          <w:pPr>
            <w:pStyle w:val="TOC1"/>
            <w:tabs>
              <w:tab w:val="left" w:pos="660"/>
            </w:tabs>
            <w:rPr>
              <w:rFonts w:asciiTheme="minorHAnsi" w:eastAsiaTheme="minorEastAsia" w:hAnsiTheme="minorHAnsi" w:cstheme="minorBidi"/>
              <w:b w:val="0"/>
              <w:sz w:val="22"/>
              <w:szCs w:val="22"/>
              <w:lang w:eastAsia="en-GB"/>
            </w:rPr>
          </w:pPr>
          <w:hyperlink w:anchor="_Toc429555831" w:history="1">
            <w:r w:rsidR="009049E1" w:rsidRPr="00673B70">
              <w:rPr>
                <w:rStyle w:val="Hyperlink"/>
                <w:rFonts w:eastAsiaTheme="majorEastAsia"/>
              </w:rPr>
              <w:t>11.</w:t>
            </w:r>
            <w:r w:rsidR="009049E1">
              <w:rPr>
                <w:rFonts w:asciiTheme="minorHAnsi" w:eastAsiaTheme="minorEastAsia" w:hAnsiTheme="minorHAnsi" w:cstheme="minorBidi"/>
                <w:b w:val="0"/>
                <w:sz w:val="22"/>
                <w:szCs w:val="22"/>
                <w:lang w:eastAsia="en-GB"/>
              </w:rPr>
              <w:tab/>
            </w:r>
            <w:r w:rsidR="009049E1" w:rsidRPr="00673B70">
              <w:rPr>
                <w:rStyle w:val="Hyperlink"/>
                <w:rFonts w:eastAsiaTheme="majorEastAsia"/>
              </w:rPr>
              <w:t>Conclusions</w:t>
            </w:r>
            <w:r w:rsidR="009049E1">
              <w:rPr>
                <w:webHidden/>
              </w:rPr>
              <w:tab/>
            </w:r>
            <w:r w:rsidR="009049E1">
              <w:rPr>
                <w:webHidden/>
              </w:rPr>
              <w:fldChar w:fldCharType="begin"/>
            </w:r>
            <w:r w:rsidR="009049E1">
              <w:rPr>
                <w:webHidden/>
              </w:rPr>
              <w:instrText xml:space="preserve"> PAGEREF _Toc429555831 \h </w:instrText>
            </w:r>
            <w:r w:rsidR="009049E1">
              <w:rPr>
                <w:webHidden/>
              </w:rPr>
            </w:r>
            <w:r w:rsidR="009049E1">
              <w:rPr>
                <w:webHidden/>
              </w:rPr>
              <w:fldChar w:fldCharType="separate"/>
            </w:r>
            <w:r>
              <w:rPr>
                <w:webHidden/>
              </w:rPr>
              <w:t>50</w:t>
            </w:r>
            <w:r w:rsidR="009049E1">
              <w:rPr>
                <w:webHidden/>
              </w:rPr>
              <w:fldChar w:fldCharType="end"/>
            </w:r>
          </w:hyperlink>
        </w:p>
        <w:p w14:paraId="133E701C" w14:textId="77777777" w:rsidR="009049E1" w:rsidRDefault="00246821">
          <w:pPr>
            <w:pStyle w:val="TOC1"/>
            <w:rPr>
              <w:rFonts w:asciiTheme="minorHAnsi" w:eastAsiaTheme="minorEastAsia" w:hAnsiTheme="minorHAnsi" w:cstheme="minorBidi"/>
              <w:b w:val="0"/>
              <w:sz w:val="22"/>
              <w:szCs w:val="22"/>
              <w:lang w:eastAsia="en-GB"/>
            </w:rPr>
          </w:pPr>
          <w:hyperlink w:anchor="_Toc429555832" w:history="1">
            <w:r w:rsidR="009049E1" w:rsidRPr="00673B70">
              <w:rPr>
                <w:rStyle w:val="Hyperlink"/>
                <w:rFonts w:eastAsiaTheme="majorEastAsia"/>
              </w:rPr>
              <w:t>Resources</w:t>
            </w:r>
            <w:r w:rsidR="009049E1">
              <w:rPr>
                <w:webHidden/>
              </w:rPr>
              <w:tab/>
            </w:r>
            <w:r w:rsidR="009049E1">
              <w:rPr>
                <w:webHidden/>
              </w:rPr>
              <w:fldChar w:fldCharType="begin"/>
            </w:r>
            <w:r w:rsidR="009049E1">
              <w:rPr>
                <w:webHidden/>
              </w:rPr>
              <w:instrText xml:space="preserve"> PAGEREF _Toc429555832 \h </w:instrText>
            </w:r>
            <w:r w:rsidR="009049E1">
              <w:rPr>
                <w:webHidden/>
              </w:rPr>
            </w:r>
            <w:r w:rsidR="009049E1">
              <w:rPr>
                <w:webHidden/>
              </w:rPr>
              <w:fldChar w:fldCharType="separate"/>
            </w:r>
            <w:r>
              <w:rPr>
                <w:webHidden/>
              </w:rPr>
              <w:t>52</w:t>
            </w:r>
            <w:r w:rsidR="009049E1">
              <w:rPr>
                <w:webHidden/>
              </w:rPr>
              <w:fldChar w:fldCharType="end"/>
            </w:r>
          </w:hyperlink>
        </w:p>
        <w:p w14:paraId="5D5F8FE0" w14:textId="77777777" w:rsidR="009049E1" w:rsidRDefault="00246821">
          <w:pPr>
            <w:pStyle w:val="TOC2"/>
            <w:rPr>
              <w:rFonts w:asciiTheme="minorHAnsi" w:eastAsiaTheme="minorEastAsia" w:hAnsiTheme="minorHAnsi" w:cstheme="minorBidi"/>
              <w:noProof/>
              <w:sz w:val="22"/>
              <w:szCs w:val="22"/>
              <w:lang w:eastAsia="en-GB"/>
            </w:rPr>
          </w:pPr>
          <w:hyperlink w:anchor="_Toc429555833" w:history="1">
            <w:r w:rsidR="009049E1" w:rsidRPr="00673B70">
              <w:rPr>
                <w:rStyle w:val="Hyperlink"/>
                <w:noProof/>
              </w:rPr>
              <w:t>Relevant websites</w:t>
            </w:r>
            <w:r w:rsidR="009049E1">
              <w:rPr>
                <w:noProof/>
                <w:webHidden/>
              </w:rPr>
              <w:tab/>
            </w:r>
            <w:r w:rsidR="009049E1">
              <w:rPr>
                <w:noProof/>
                <w:webHidden/>
              </w:rPr>
              <w:fldChar w:fldCharType="begin"/>
            </w:r>
            <w:r w:rsidR="009049E1">
              <w:rPr>
                <w:noProof/>
                <w:webHidden/>
              </w:rPr>
              <w:instrText xml:space="preserve"> PAGEREF _Toc429555833 \h </w:instrText>
            </w:r>
            <w:r w:rsidR="009049E1">
              <w:rPr>
                <w:noProof/>
                <w:webHidden/>
              </w:rPr>
            </w:r>
            <w:r w:rsidR="009049E1">
              <w:rPr>
                <w:noProof/>
                <w:webHidden/>
              </w:rPr>
              <w:fldChar w:fldCharType="separate"/>
            </w:r>
            <w:r>
              <w:rPr>
                <w:noProof/>
                <w:webHidden/>
              </w:rPr>
              <w:t>52</w:t>
            </w:r>
            <w:r w:rsidR="009049E1">
              <w:rPr>
                <w:noProof/>
                <w:webHidden/>
              </w:rPr>
              <w:fldChar w:fldCharType="end"/>
            </w:r>
          </w:hyperlink>
        </w:p>
        <w:p w14:paraId="361F7CF0" w14:textId="77777777" w:rsidR="009049E1" w:rsidRDefault="00246821">
          <w:pPr>
            <w:pStyle w:val="TOC2"/>
            <w:rPr>
              <w:rFonts w:asciiTheme="minorHAnsi" w:eastAsiaTheme="minorEastAsia" w:hAnsiTheme="minorHAnsi" w:cstheme="minorBidi"/>
              <w:noProof/>
              <w:sz w:val="22"/>
              <w:szCs w:val="22"/>
              <w:lang w:eastAsia="en-GB"/>
            </w:rPr>
          </w:pPr>
          <w:hyperlink w:anchor="_Toc429555834" w:history="1">
            <w:r w:rsidR="009049E1" w:rsidRPr="00673B70">
              <w:rPr>
                <w:rStyle w:val="Hyperlink"/>
                <w:noProof/>
              </w:rPr>
              <w:t>Statistical resources</w:t>
            </w:r>
            <w:r w:rsidR="009049E1">
              <w:rPr>
                <w:noProof/>
                <w:webHidden/>
              </w:rPr>
              <w:tab/>
            </w:r>
            <w:r w:rsidR="009049E1">
              <w:rPr>
                <w:noProof/>
                <w:webHidden/>
              </w:rPr>
              <w:fldChar w:fldCharType="begin"/>
            </w:r>
            <w:r w:rsidR="009049E1">
              <w:rPr>
                <w:noProof/>
                <w:webHidden/>
              </w:rPr>
              <w:instrText xml:space="preserve"> PAGEREF _Toc429555834 \h </w:instrText>
            </w:r>
            <w:r w:rsidR="009049E1">
              <w:rPr>
                <w:noProof/>
                <w:webHidden/>
              </w:rPr>
            </w:r>
            <w:r w:rsidR="009049E1">
              <w:rPr>
                <w:noProof/>
                <w:webHidden/>
              </w:rPr>
              <w:fldChar w:fldCharType="separate"/>
            </w:r>
            <w:r>
              <w:rPr>
                <w:noProof/>
                <w:webHidden/>
              </w:rPr>
              <w:t>53</w:t>
            </w:r>
            <w:r w:rsidR="009049E1">
              <w:rPr>
                <w:noProof/>
                <w:webHidden/>
              </w:rPr>
              <w:fldChar w:fldCharType="end"/>
            </w:r>
          </w:hyperlink>
        </w:p>
        <w:p w14:paraId="7108C0A0" w14:textId="77777777" w:rsidR="009049E1" w:rsidRDefault="00246821">
          <w:pPr>
            <w:pStyle w:val="TOC2"/>
            <w:rPr>
              <w:rFonts w:asciiTheme="minorHAnsi" w:eastAsiaTheme="minorEastAsia" w:hAnsiTheme="minorHAnsi" w:cstheme="minorBidi"/>
              <w:noProof/>
              <w:sz w:val="22"/>
              <w:szCs w:val="22"/>
              <w:lang w:eastAsia="en-GB"/>
            </w:rPr>
          </w:pPr>
          <w:hyperlink w:anchor="_Toc429555835" w:history="1">
            <w:r w:rsidR="009049E1" w:rsidRPr="00673B70">
              <w:rPr>
                <w:rStyle w:val="Hyperlink"/>
                <w:noProof/>
              </w:rPr>
              <w:t>Other reports/projects of interest</w:t>
            </w:r>
            <w:r w:rsidR="009049E1">
              <w:rPr>
                <w:noProof/>
                <w:webHidden/>
              </w:rPr>
              <w:tab/>
            </w:r>
            <w:r w:rsidR="009049E1">
              <w:rPr>
                <w:noProof/>
                <w:webHidden/>
              </w:rPr>
              <w:fldChar w:fldCharType="begin"/>
            </w:r>
            <w:r w:rsidR="009049E1">
              <w:rPr>
                <w:noProof/>
                <w:webHidden/>
              </w:rPr>
              <w:instrText xml:space="preserve"> PAGEREF _Toc429555835 \h </w:instrText>
            </w:r>
            <w:r w:rsidR="009049E1">
              <w:rPr>
                <w:noProof/>
                <w:webHidden/>
              </w:rPr>
            </w:r>
            <w:r w:rsidR="009049E1">
              <w:rPr>
                <w:noProof/>
                <w:webHidden/>
              </w:rPr>
              <w:fldChar w:fldCharType="separate"/>
            </w:r>
            <w:r>
              <w:rPr>
                <w:noProof/>
                <w:webHidden/>
              </w:rPr>
              <w:t>53</w:t>
            </w:r>
            <w:r w:rsidR="009049E1">
              <w:rPr>
                <w:noProof/>
                <w:webHidden/>
              </w:rPr>
              <w:fldChar w:fldCharType="end"/>
            </w:r>
          </w:hyperlink>
        </w:p>
        <w:p w14:paraId="77D2B83A" w14:textId="77777777" w:rsidR="009049E1" w:rsidRDefault="00246821">
          <w:pPr>
            <w:pStyle w:val="TOC1"/>
            <w:rPr>
              <w:rFonts w:asciiTheme="minorHAnsi" w:eastAsiaTheme="minorEastAsia" w:hAnsiTheme="minorHAnsi" w:cstheme="minorBidi"/>
              <w:b w:val="0"/>
              <w:sz w:val="22"/>
              <w:szCs w:val="22"/>
              <w:lang w:eastAsia="en-GB"/>
            </w:rPr>
          </w:pPr>
          <w:hyperlink w:anchor="_Toc429555836" w:history="1">
            <w:r w:rsidR="009049E1" w:rsidRPr="00673B70">
              <w:rPr>
                <w:rStyle w:val="Hyperlink"/>
              </w:rPr>
              <w:t>References</w:t>
            </w:r>
            <w:r w:rsidR="009049E1">
              <w:rPr>
                <w:webHidden/>
              </w:rPr>
              <w:tab/>
            </w:r>
            <w:r w:rsidR="009049E1">
              <w:rPr>
                <w:webHidden/>
              </w:rPr>
              <w:fldChar w:fldCharType="begin"/>
            </w:r>
            <w:r w:rsidR="009049E1">
              <w:rPr>
                <w:webHidden/>
              </w:rPr>
              <w:instrText xml:space="preserve"> PAGEREF _Toc429555836 \h </w:instrText>
            </w:r>
            <w:r w:rsidR="009049E1">
              <w:rPr>
                <w:webHidden/>
              </w:rPr>
            </w:r>
            <w:r w:rsidR="009049E1">
              <w:rPr>
                <w:webHidden/>
              </w:rPr>
              <w:fldChar w:fldCharType="separate"/>
            </w:r>
            <w:r>
              <w:rPr>
                <w:webHidden/>
              </w:rPr>
              <w:t>56</w:t>
            </w:r>
            <w:r w:rsidR="009049E1">
              <w:rPr>
                <w:webHidden/>
              </w:rPr>
              <w:fldChar w:fldCharType="end"/>
            </w:r>
          </w:hyperlink>
        </w:p>
        <w:p w14:paraId="69F27DE2" w14:textId="77777777" w:rsidR="00D468CA" w:rsidRDefault="00A03248" w:rsidP="00A03248">
          <w:pPr>
            <w:pStyle w:val="TOC1"/>
            <w:tabs>
              <w:tab w:val="left" w:pos="567"/>
            </w:tabs>
          </w:pPr>
          <w:r>
            <w:fldChar w:fldCharType="end"/>
          </w:r>
        </w:p>
      </w:sdtContent>
    </w:sdt>
    <w:p w14:paraId="16D427D6" w14:textId="77777777" w:rsidR="006C2CF8" w:rsidRDefault="006C2CF8">
      <w:pPr>
        <w:tabs>
          <w:tab w:val="clear" w:pos="720"/>
          <w:tab w:val="clear" w:pos="1440"/>
          <w:tab w:val="clear" w:pos="2160"/>
          <w:tab w:val="clear" w:pos="2880"/>
          <w:tab w:val="clear" w:pos="4680"/>
          <w:tab w:val="clear" w:pos="5400"/>
          <w:tab w:val="clear" w:pos="9000"/>
        </w:tabs>
        <w:spacing w:line="240" w:lineRule="auto"/>
        <w:rPr>
          <w:rFonts w:eastAsia="Times New Roman"/>
        </w:rPr>
        <w:sectPr w:rsidR="006C2CF8" w:rsidSect="00B051EC">
          <w:footerReference w:type="default" r:id="rId10"/>
          <w:type w:val="continuous"/>
          <w:pgSz w:w="11900" w:h="16840" w:code="9"/>
          <w:pgMar w:top="1134" w:right="1134" w:bottom="851" w:left="1134" w:header="851" w:footer="851" w:gutter="0"/>
          <w:cols w:space="708"/>
          <w:docGrid w:linePitch="360"/>
        </w:sectPr>
      </w:pPr>
    </w:p>
    <w:p w14:paraId="64090353" w14:textId="77777777" w:rsidR="008A37EC" w:rsidRPr="008A37EC" w:rsidRDefault="008A37EC" w:rsidP="0010717A">
      <w:pPr>
        <w:pStyle w:val="Heading1blue"/>
        <w:numPr>
          <w:ilvl w:val="0"/>
          <w:numId w:val="33"/>
        </w:numPr>
        <w:rPr>
          <w:rFonts w:eastAsiaTheme="majorEastAsia"/>
          <w:lang w:eastAsia="en-GB"/>
        </w:rPr>
      </w:pPr>
      <w:bookmarkStart w:id="1" w:name="_Toc429555794"/>
      <w:r w:rsidRPr="008A37EC">
        <w:rPr>
          <w:rFonts w:eastAsiaTheme="majorEastAsia"/>
          <w:lang w:eastAsia="en-GB"/>
        </w:rPr>
        <w:lastRenderedPageBreak/>
        <w:t>Main Messages</w:t>
      </w:r>
      <w:bookmarkEnd w:id="1"/>
    </w:p>
    <w:p w14:paraId="48D1650A" w14:textId="77777777" w:rsidR="006E711A" w:rsidRDefault="006E711A" w:rsidP="000E57F5">
      <w:pPr>
        <w:pStyle w:val="SGBullet"/>
        <w:numPr>
          <w:ilvl w:val="0"/>
          <w:numId w:val="0"/>
        </w:numPr>
        <w:ind w:left="636"/>
        <w:rPr>
          <w:sz w:val="24"/>
          <w:szCs w:val="24"/>
          <w:lang w:eastAsia="en-GB"/>
        </w:rPr>
      </w:pPr>
    </w:p>
    <w:p w14:paraId="241DFAF7" w14:textId="77777777" w:rsidR="008A37EC" w:rsidRPr="000E57F5" w:rsidRDefault="008A37EC" w:rsidP="006F0C6A">
      <w:pPr>
        <w:pStyle w:val="SGBullet"/>
        <w:rPr>
          <w:sz w:val="24"/>
          <w:szCs w:val="24"/>
          <w:lang w:eastAsia="en-GB"/>
        </w:rPr>
      </w:pPr>
      <w:r w:rsidRPr="000E57F5">
        <w:rPr>
          <w:sz w:val="24"/>
          <w:szCs w:val="24"/>
          <w:lang w:eastAsia="en-GB"/>
        </w:rPr>
        <w:t xml:space="preserve">Scotland has one of the highest female prison populations in Northern Europe.  The growth in the female prison population appears to have been driven by increases in </w:t>
      </w:r>
      <w:r w:rsidR="00EE636D" w:rsidRPr="000E57F5">
        <w:rPr>
          <w:sz w:val="24"/>
          <w:szCs w:val="24"/>
          <w:lang w:eastAsia="en-GB"/>
        </w:rPr>
        <w:t xml:space="preserve">custodial </w:t>
      </w:r>
      <w:r w:rsidRPr="000E57F5">
        <w:rPr>
          <w:sz w:val="24"/>
          <w:szCs w:val="24"/>
          <w:lang w:eastAsia="en-GB"/>
        </w:rPr>
        <w:t>convictions for seriou</w:t>
      </w:r>
      <w:r w:rsidR="00867C08" w:rsidRPr="000E57F5">
        <w:rPr>
          <w:sz w:val="24"/>
          <w:szCs w:val="24"/>
          <w:lang w:eastAsia="en-GB"/>
        </w:rPr>
        <w:t>s violent crime, drugs offences</w:t>
      </w:r>
      <w:r w:rsidRPr="000E57F5">
        <w:rPr>
          <w:sz w:val="24"/>
          <w:szCs w:val="24"/>
          <w:lang w:eastAsia="en-GB"/>
        </w:rPr>
        <w:t xml:space="preserve"> and common assault.  </w:t>
      </w:r>
    </w:p>
    <w:p w14:paraId="2D319067" w14:textId="77777777" w:rsidR="008A37EC" w:rsidRPr="000E57F5" w:rsidRDefault="001F13E0" w:rsidP="006F0C6A">
      <w:pPr>
        <w:pStyle w:val="SGBullet"/>
        <w:rPr>
          <w:sz w:val="24"/>
          <w:szCs w:val="24"/>
          <w:lang w:eastAsia="en-GB"/>
        </w:rPr>
      </w:pPr>
      <w:r w:rsidRPr="000E57F5">
        <w:rPr>
          <w:sz w:val="24"/>
          <w:szCs w:val="24"/>
          <w:lang w:eastAsia="en-GB"/>
        </w:rPr>
        <w:t xml:space="preserve">A </w:t>
      </w:r>
      <w:r w:rsidR="008A37EC" w:rsidRPr="000E57F5">
        <w:rPr>
          <w:sz w:val="24"/>
          <w:szCs w:val="24"/>
          <w:lang w:eastAsia="en-GB"/>
        </w:rPr>
        <w:t>wide range of custodial approaches</w:t>
      </w:r>
      <w:r w:rsidRPr="000E57F5">
        <w:rPr>
          <w:sz w:val="24"/>
          <w:szCs w:val="24"/>
          <w:lang w:eastAsia="en-GB"/>
        </w:rPr>
        <w:t xml:space="preserve"> for women exist</w:t>
      </w:r>
      <w:r w:rsidR="008A37EC" w:rsidRPr="000E57F5">
        <w:rPr>
          <w:sz w:val="24"/>
          <w:szCs w:val="24"/>
          <w:lang w:eastAsia="en-GB"/>
        </w:rPr>
        <w:t xml:space="preserve"> internationally from non-residential alternatives such as community supervision and electronic monitoring in Sweden, to open prisons in Finland and Germany</w:t>
      </w:r>
      <w:r w:rsidRPr="000E57F5">
        <w:rPr>
          <w:sz w:val="24"/>
          <w:szCs w:val="24"/>
          <w:lang w:eastAsia="en-GB"/>
        </w:rPr>
        <w:t>,</w:t>
      </w:r>
      <w:r w:rsidR="007B56B7" w:rsidRPr="000E57F5">
        <w:rPr>
          <w:sz w:val="24"/>
          <w:szCs w:val="24"/>
          <w:lang w:eastAsia="en-GB"/>
        </w:rPr>
        <w:t xml:space="preserve"> and </w:t>
      </w:r>
      <w:r w:rsidR="005E7291" w:rsidRPr="000E57F5">
        <w:rPr>
          <w:sz w:val="24"/>
          <w:szCs w:val="24"/>
          <w:lang w:eastAsia="en-GB"/>
        </w:rPr>
        <w:t>‘</w:t>
      </w:r>
      <w:r w:rsidR="007B56B7" w:rsidRPr="000E57F5">
        <w:rPr>
          <w:sz w:val="24"/>
          <w:szCs w:val="24"/>
          <w:lang w:eastAsia="en-GB"/>
        </w:rPr>
        <w:t>cottage</w:t>
      </w:r>
      <w:r w:rsidR="005E7291" w:rsidRPr="000E57F5">
        <w:rPr>
          <w:sz w:val="24"/>
          <w:szCs w:val="24"/>
          <w:lang w:eastAsia="en-GB"/>
        </w:rPr>
        <w:t>’</w:t>
      </w:r>
      <w:r w:rsidR="007B56B7" w:rsidRPr="000E57F5">
        <w:rPr>
          <w:sz w:val="24"/>
          <w:szCs w:val="24"/>
          <w:lang w:eastAsia="en-GB"/>
        </w:rPr>
        <w:t xml:space="preserve"> or </w:t>
      </w:r>
      <w:r w:rsidR="005E7291" w:rsidRPr="000E57F5">
        <w:rPr>
          <w:sz w:val="24"/>
          <w:szCs w:val="24"/>
          <w:lang w:eastAsia="en-GB"/>
        </w:rPr>
        <w:t>‘</w:t>
      </w:r>
      <w:r w:rsidR="007B56B7" w:rsidRPr="000E57F5">
        <w:rPr>
          <w:sz w:val="24"/>
          <w:szCs w:val="24"/>
          <w:lang w:eastAsia="en-GB"/>
        </w:rPr>
        <w:t>campus</w:t>
      </w:r>
      <w:r w:rsidR="005E7291" w:rsidRPr="000E57F5">
        <w:rPr>
          <w:sz w:val="24"/>
          <w:szCs w:val="24"/>
          <w:lang w:eastAsia="en-GB"/>
        </w:rPr>
        <w:t>-</w:t>
      </w:r>
      <w:r w:rsidR="007B56B7" w:rsidRPr="000E57F5">
        <w:rPr>
          <w:sz w:val="24"/>
          <w:szCs w:val="24"/>
          <w:lang w:eastAsia="en-GB"/>
        </w:rPr>
        <w:t>style</w:t>
      </w:r>
      <w:r w:rsidR="005E7291" w:rsidRPr="000E57F5">
        <w:rPr>
          <w:sz w:val="24"/>
          <w:szCs w:val="24"/>
          <w:lang w:eastAsia="en-GB"/>
        </w:rPr>
        <w:t>’</w:t>
      </w:r>
      <w:r w:rsidR="007B56B7" w:rsidRPr="000E57F5">
        <w:rPr>
          <w:sz w:val="24"/>
          <w:szCs w:val="24"/>
          <w:lang w:eastAsia="en-GB"/>
        </w:rPr>
        <w:t xml:space="preserve"> prisons</w:t>
      </w:r>
      <w:r w:rsidR="008A37EC" w:rsidRPr="000E57F5">
        <w:rPr>
          <w:sz w:val="24"/>
          <w:szCs w:val="24"/>
          <w:lang w:eastAsia="en-GB"/>
        </w:rPr>
        <w:t xml:space="preserve"> in Canada and some parts of Australia.  </w:t>
      </w:r>
    </w:p>
    <w:p w14:paraId="617D7B82" w14:textId="77777777" w:rsidR="008A37EC" w:rsidRPr="000E57F5" w:rsidRDefault="008A37EC" w:rsidP="006F0C6A">
      <w:pPr>
        <w:pStyle w:val="SGBullet"/>
        <w:rPr>
          <w:sz w:val="24"/>
          <w:szCs w:val="24"/>
          <w:lang w:eastAsia="en-GB"/>
        </w:rPr>
      </w:pPr>
      <w:r w:rsidRPr="000E57F5">
        <w:rPr>
          <w:sz w:val="24"/>
          <w:szCs w:val="24"/>
          <w:lang w:eastAsia="en-GB"/>
        </w:rPr>
        <w:t>Scandinavian countries, which have fewer women in custody, tend to adopt a pro-welfare, non-punitive approach</w:t>
      </w:r>
      <w:r w:rsidR="005E7291" w:rsidRPr="000E57F5">
        <w:rPr>
          <w:sz w:val="24"/>
          <w:szCs w:val="24"/>
          <w:lang w:eastAsia="en-GB"/>
        </w:rPr>
        <w:t xml:space="preserve"> which emphasises rehabilitation</w:t>
      </w:r>
      <w:r w:rsidRPr="000E57F5">
        <w:rPr>
          <w:sz w:val="24"/>
          <w:szCs w:val="24"/>
          <w:lang w:eastAsia="en-GB"/>
        </w:rPr>
        <w:t xml:space="preserve">.  Typically, this is characterised by </w:t>
      </w:r>
      <w:r w:rsidR="001F13E0" w:rsidRPr="000E57F5">
        <w:rPr>
          <w:sz w:val="24"/>
          <w:szCs w:val="24"/>
          <w:lang w:eastAsia="en-GB"/>
        </w:rPr>
        <w:t xml:space="preserve">substantial </w:t>
      </w:r>
      <w:r w:rsidR="00FF6332" w:rsidRPr="000E57F5">
        <w:rPr>
          <w:sz w:val="24"/>
          <w:szCs w:val="24"/>
          <w:lang w:eastAsia="en-GB"/>
        </w:rPr>
        <w:t xml:space="preserve">use of community alternatives </w:t>
      </w:r>
      <w:r w:rsidR="007B56B7" w:rsidRPr="000E57F5">
        <w:rPr>
          <w:sz w:val="24"/>
          <w:szCs w:val="24"/>
          <w:lang w:eastAsia="en-GB"/>
        </w:rPr>
        <w:t xml:space="preserve">to custody </w:t>
      </w:r>
      <w:r w:rsidRPr="000E57F5">
        <w:rPr>
          <w:sz w:val="24"/>
          <w:szCs w:val="24"/>
          <w:lang w:eastAsia="en-GB"/>
        </w:rPr>
        <w:t xml:space="preserve">and open prisons, </w:t>
      </w:r>
      <w:r w:rsidR="00FF6332" w:rsidRPr="000E57F5">
        <w:rPr>
          <w:sz w:val="24"/>
          <w:szCs w:val="24"/>
          <w:lang w:eastAsia="en-GB"/>
        </w:rPr>
        <w:t>a professionalised</w:t>
      </w:r>
      <w:r w:rsidRPr="000E57F5">
        <w:rPr>
          <w:sz w:val="24"/>
          <w:szCs w:val="24"/>
          <w:lang w:eastAsia="en-GB"/>
        </w:rPr>
        <w:t xml:space="preserve"> </w:t>
      </w:r>
      <w:r w:rsidR="00FF6332" w:rsidRPr="000E57F5">
        <w:rPr>
          <w:sz w:val="24"/>
          <w:szCs w:val="24"/>
          <w:lang w:eastAsia="en-GB"/>
        </w:rPr>
        <w:t>workforce</w:t>
      </w:r>
      <w:r w:rsidRPr="000E57F5">
        <w:rPr>
          <w:sz w:val="24"/>
          <w:szCs w:val="24"/>
          <w:lang w:eastAsia="en-GB"/>
        </w:rPr>
        <w:t xml:space="preserve">, and </w:t>
      </w:r>
      <w:r w:rsidR="005E7291" w:rsidRPr="000E57F5">
        <w:rPr>
          <w:sz w:val="24"/>
          <w:szCs w:val="24"/>
          <w:lang w:eastAsia="en-GB"/>
        </w:rPr>
        <w:t xml:space="preserve">small, </w:t>
      </w:r>
      <w:r w:rsidRPr="000E57F5">
        <w:rPr>
          <w:sz w:val="24"/>
          <w:szCs w:val="24"/>
          <w:lang w:eastAsia="en-GB"/>
        </w:rPr>
        <w:t xml:space="preserve">dedicated facilities for women.  Penal policy is expert-led and tends not to be influenced by </w:t>
      </w:r>
      <w:proofErr w:type="spellStart"/>
      <w:r w:rsidRPr="000E57F5">
        <w:rPr>
          <w:sz w:val="24"/>
          <w:szCs w:val="24"/>
          <w:lang w:eastAsia="en-GB"/>
        </w:rPr>
        <w:t>sensationalisation</w:t>
      </w:r>
      <w:proofErr w:type="spellEnd"/>
      <w:r w:rsidRPr="000E57F5">
        <w:rPr>
          <w:sz w:val="24"/>
          <w:szCs w:val="24"/>
          <w:lang w:eastAsia="en-GB"/>
        </w:rPr>
        <w:t xml:space="preserve"> of crime or victimisation.</w:t>
      </w:r>
    </w:p>
    <w:p w14:paraId="25F81DFE" w14:textId="77777777" w:rsidR="008A37EC" w:rsidRPr="000E57F5" w:rsidRDefault="008A37EC" w:rsidP="006F0C6A">
      <w:pPr>
        <w:pStyle w:val="SGBullet"/>
        <w:rPr>
          <w:sz w:val="24"/>
          <w:szCs w:val="24"/>
          <w:lang w:eastAsia="en-GB"/>
        </w:rPr>
      </w:pPr>
      <w:r w:rsidRPr="000E57F5">
        <w:rPr>
          <w:sz w:val="24"/>
          <w:szCs w:val="24"/>
          <w:lang w:eastAsia="en-GB"/>
        </w:rPr>
        <w:t xml:space="preserve">Canada has been </w:t>
      </w:r>
      <w:r w:rsidR="00867C08" w:rsidRPr="000E57F5">
        <w:rPr>
          <w:sz w:val="24"/>
          <w:szCs w:val="24"/>
          <w:lang w:eastAsia="en-GB"/>
        </w:rPr>
        <w:t>recognised</w:t>
      </w:r>
      <w:r w:rsidRPr="000E57F5">
        <w:rPr>
          <w:sz w:val="24"/>
          <w:szCs w:val="24"/>
          <w:lang w:eastAsia="en-GB"/>
        </w:rPr>
        <w:t xml:space="preserve"> for its </w:t>
      </w:r>
      <w:r w:rsidR="00CB0D3E" w:rsidRPr="000E57F5">
        <w:rPr>
          <w:sz w:val="24"/>
          <w:szCs w:val="24"/>
          <w:lang w:eastAsia="en-GB"/>
        </w:rPr>
        <w:t>transition</w:t>
      </w:r>
      <w:r w:rsidRPr="000E57F5">
        <w:rPr>
          <w:sz w:val="24"/>
          <w:szCs w:val="24"/>
          <w:lang w:eastAsia="en-GB"/>
        </w:rPr>
        <w:t xml:space="preserve"> from a traditional, male-centric approach to a women-only regional system.  However, despite its ethos of ‘self-care’ remaining sound, the female prison population has continued to rise and its prison estate </w:t>
      </w:r>
      <w:r w:rsidR="00FF6332" w:rsidRPr="000E57F5">
        <w:rPr>
          <w:sz w:val="24"/>
          <w:szCs w:val="24"/>
          <w:lang w:eastAsia="en-GB"/>
        </w:rPr>
        <w:t>has consequently expanded</w:t>
      </w:r>
      <w:r w:rsidRPr="000E57F5">
        <w:rPr>
          <w:sz w:val="24"/>
          <w:szCs w:val="24"/>
          <w:lang w:eastAsia="en-GB"/>
        </w:rPr>
        <w:t>.  This has been attributed (in part) to an increase in the use of short sentences</w:t>
      </w:r>
      <w:r w:rsidR="00350425" w:rsidRPr="000E57F5">
        <w:rPr>
          <w:sz w:val="24"/>
          <w:szCs w:val="24"/>
          <w:lang w:eastAsia="en-GB"/>
        </w:rPr>
        <w:t>, particularly for women with mental health problems</w:t>
      </w:r>
      <w:r w:rsidRPr="000E57F5">
        <w:rPr>
          <w:sz w:val="24"/>
          <w:szCs w:val="24"/>
          <w:lang w:eastAsia="en-GB"/>
        </w:rPr>
        <w:t xml:space="preserve">.  </w:t>
      </w:r>
      <w:r w:rsidR="00CB0D3E" w:rsidRPr="000E57F5">
        <w:rPr>
          <w:sz w:val="24"/>
          <w:szCs w:val="24"/>
          <w:lang w:eastAsia="en-GB"/>
        </w:rPr>
        <w:t>E</w:t>
      </w:r>
      <w:r w:rsidRPr="000E57F5">
        <w:rPr>
          <w:sz w:val="24"/>
          <w:szCs w:val="24"/>
          <w:lang w:eastAsia="en-GB"/>
        </w:rPr>
        <w:t xml:space="preserve">vidence </w:t>
      </w:r>
      <w:r w:rsidR="00867C08" w:rsidRPr="000E57F5">
        <w:rPr>
          <w:sz w:val="24"/>
          <w:szCs w:val="24"/>
          <w:lang w:eastAsia="en-GB"/>
        </w:rPr>
        <w:t>emphasises</w:t>
      </w:r>
      <w:r w:rsidRPr="000E57F5">
        <w:rPr>
          <w:sz w:val="24"/>
          <w:szCs w:val="24"/>
          <w:lang w:eastAsia="en-GB"/>
        </w:rPr>
        <w:t xml:space="preserve"> </w:t>
      </w:r>
      <w:r w:rsidR="007B56B7" w:rsidRPr="000E57F5">
        <w:rPr>
          <w:sz w:val="24"/>
          <w:szCs w:val="24"/>
          <w:lang w:eastAsia="en-GB"/>
        </w:rPr>
        <w:t xml:space="preserve">the importance of staff </w:t>
      </w:r>
      <w:r w:rsidR="0043583B" w:rsidRPr="000E57F5">
        <w:rPr>
          <w:sz w:val="24"/>
          <w:szCs w:val="24"/>
          <w:lang w:eastAsia="en-GB"/>
        </w:rPr>
        <w:t xml:space="preserve">and management </w:t>
      </w:r>
      <w:r w:rsidR="007B56B7" w:rsidRPr="000E57F5">
        <w:rPr>
          <w:sz w:val="24"/>
          <w:szCs w:val="24"/>
          <w:lang w:eastAsia="en-GB"/>
        </w:rPr>
        <w:t>culture</w:t>
      </w:r>
      <w:r w:rsidR="00CB0D3E" w:rsidRPr="000E57F5">
        <w:rPr>
          <w:sz w:val="24"/>
          <w:szCs w:val="24"/>
          <w:lang w:eastAsia="en-GB"/>
        </w:rPr>
        <w:t xml:space="preserve"> in prisons</w:t>
      </w:r>
      <w:r w:rsidR="007B56B7" w:rsidRPr="000E57F5">
        <w:rPr>
          <w:sz w:val="24"/>
          <w:szCs w:val="24"/>
          <w:lang w:eastAsia="en-GB"/>
        </w:rPr>
        <w:t xml:space="preserve">, the availability and quality </w:t>
      </w:r>
      <w:r w:rsidR="00CB0D3E" w:rsidRPr="000E57F5">
        <w:rPr>
          <w:sz w:val="24"/>
          <w:szCs w:val="24"/>
          <w:lang w:eastAsia="en-GB"/>
        </w:rPr>
        <w:t xml:space="preserve">of </w:t>
      </w:r>
      <w:r w:rsidR="007B56B7" w:rsidRPr="000E57F5">
        <w:rPr>
          <w:sz w:val="24"/>
          <w:szCs w:val="24"/>
          <w:lang w:eastAsia="en-GB"/>
        </w:rPr>
        <w:t>support</w:t>
      </w:r>
      <w:r w:rsidR="00B44465" w:rsidRPr="000E57F5">
        <w:rPr>
          <w:sz w:val="24"/>
          <w:szCs w:val="24"/>
          <w:lang w:eastAsia="en-GB"/>
        </w:rPr>
        <w:t>,</w:t>
      </w:r>
      <w:r w:rsidR="007B56B7" w:rsidRPr="000E57F5">
        <w:rPr>
          <w:sz w:val="24"/>
          <w:szCs w:val="24"/>
          <w:lang w:eastAsia="en-GB"/>
        </w:rPr>
        <w:t xml:space="preserve"> </w:t>
      </w:r>
      <w:r w:rsidR="00CB0D3E" w:rsidRPr="000E57F5">
        <w:rPr>
          <w:sz w:val="24"/>
          <w:szCs w:val="24"/>
          <w:lang w:eastAsia="en-GB"/>
        </w:rPr>
        <w:t>and preparing women for release</w:t>
      </w:r>
      <w:r w:rsidRPr="000E57F5">
        <w:rPr>
          <w:sz w:val="24"/>
          <w:szCs w:val="24"/>
          <w:lang w:eastAsia="en-GB"/>
        </w:rPr>
        <w:t>.</w:t>
      </w:r>
    </w:p>
    <w:p w14:paraId="3AA3651A" w14:textId="77777777" w:rsidR="00016A45" w:rsidRPr="000E57F5" w:rsidRDefault="008A37EC" w:rsidP="006F0C6A">
      <w:pPr>
        <w:pStyle w:val="SGBullet"/>
        <w:rPr>
          <w:sz w:val="24"/>
          <w:szCs w:val="24"/>
          <w:lang w:eastAsia="en-GB"/>
        </w:rPr>
      </w:pPr>
      <w:r w:rsidRPr="000E57F5">
        <w:rPr>
          <w:sz w:val="24"/>
          <w:szCs w:val="24"/>
          <w:lang w:eastAsia="en-GB"/>
        </w:rPr>
        <w:t xml:space="preserve">Maintaining family links is important for many women in custody.  Although precise figures are hard to obtain </w:t>
      </w:r>
      <w:r w:rsidR="009C46A8" w:rsidRPr="000E57F5">
        <w:rPr>
          <w:sz w:val="24"/>
          <w:szCs w:val="24"/>
          <w:lang w:eastAsia="en-GB"/>
        </w:rPr>
        <w:t xml:space="preserve">it is estimated that </w:t>
      </w:r>
      <w:r w:rsidR="00587B82" w:rsidRPr="000E57F5">
        <w:rPr>
          <w:sz w:val="24"/>
          <w:szCs w:val="24"/>
          <w:lang w:eastAsia="en-GB"/>
        </w:rPr>
        <w:t xml:space="preserve">approximately </w:t>
      </w:r>
      <w:r w:rsidR="00AF4BD6" w:rsidRPr="000E57F5">
        <w:rPr>
          <w:sz w:val="24"/>
          <w:szCs w:val="24"/>
          <w:lang w:eastAsia="en-GB"/>
        </w:rPr>
        <w:t>65%</w:t>
      </w:r>
      <w:r w:rsidR="009C46A8" w:rsidRPr="000E57F5">
        <w:rPr>
          <w:sz w:val="24"/>
          <w:szCs w:val="24"/>
          <w:lang w:eastAsia="en-GB"/>
        </w:rPr>
        <w:t xml:space="preserve"> of women in prison</w:t>
      </w:r>
      <w:r w:rsidR="00AF4BD6" w:rsidRPr="000E57F5">
        <w:rPr>
          <w:sz w:val="24"/>
          <w:szCs w:val="24"/>
          <w:lang w:eastAsia="en-GB"/>
        </w:rPr>
        <w:t xml:space="preserve"> </w:t>
      </w:r>
      <w:r w:rsidR="00867C08" w:rsidRPr="000E57F5">
        <w:rPr>
          <w:sz w:val="24"/>
          <w:szCs w:val="24"/>
          <w:lang w:eastAsia="en-GB"/>
        </w:rPr>
        <w:t xml:space="preserve">in Scotland </w:t>
      </w:r>
      <w:r w:rsidR="00AF4BD6" w:rsidRPr="000E57F5">
        <w:rPr>
          <w:sz w:val="24"/>
          <w:szCs w:val="24"/>
          <w:lang w:eastAsia="en-GB"/>
        </w:rPr>
        <w:t xml:space="preserve">are mothers.  </w:t>
      </w:r>
      <w:r w:rsidR="00016A45" w:rsidRPr="000E57F5">
        <w:rPr>
          <w:sz w:val="24"/>
          <w:szCs w:val="24"/>
          <w:lang w:eastAsia="en-GB"/>
        </w:rPr>
        <w:t xml:space="preserve">Of those </w:t>
      </w:r>
      <w:r w:rsidR="00F13BD0" w:rsidRPr="000E57F5">
        <w:rPr>
          <w:sz w:val="24"/>
          <w:szCs w:val="24"/>
          <w:lang w:eastAsia="en-GB"/>
        </w:rPr>
        <w:t>with childcare responsibilities</w:t>
      </w:r>
      <w:r w:rsidR="00016A45" w:rsidRPr="000E57F5">
        <w:rPr>
          <w:sz w:val="24"/>
          <w:szCs w:val="24"/>
          <w:lang w:eastAsia="en-GB"/>
        </w:rPr>
        <w:t xml:space="preserve"> prior to imprisonment (about 60% of mothers), most intend to resume that care on release.</w:t>
      </w:r>
    </w:p>
    <w:p w14:paraId="296A6965" w14:textId="77777777" w:rsidR="00772DBB" w:rsidRPr="000E57F5" w:rsidRDefault="008A37EC" w:rsidP="006F0C6A">
      <w:pPr>
        <w:pStyle w:val="SGBullet"/>
        <w:rPr>
          <w:sz w:val="24"/>
          <w:szCs w:val="24"/>
          <w:lang w:eastAsia="en-GB"/>
        </w:rPr>
      </w:pPr>
      <w:r w:rsidRPr="000E57F5">
        <w:rPr>
          <w:sz w:val="24"/>
          <w:szCs w:val="24"/>
          <w:lang w:eastAsia="en-GB"/>
        </w:rPr>
        <w:t xml:space="preserve">The main </w:t>
      </w:r>
      <w:r w:rsidR="00234732" w:rsidRPr="000E57F5">
        <w:rPr>
          <w:sz w:val="24"/>
          <w:szCs w:val="24"/>
          <w:lang w:eastAsia="en-GB"/>
        </w:rPr>
        <w:t>challenges</w:t>
      </w:r>
      <w:r w:rsidRPr="000E57F5">
        <w:rPr>
          <w:sz w:val="24"/>
          <w:szCs w:val="24"/>
          <w:lang w:eastAsia="en-GB"/>
        </w:rPr>
        <w:t xml:space="preserve"> </w:t>
      </w:r>
      <w:r w:rsidR="00B44465" w:rsidRPr="000E57F5">
        <w:rPr>
          <w:sz w:val="24"/>
          <w:szCs w:val="24"/>
          <w:lang w:eastAsia="en-GB"/>
        </w:rPr>
        <w:t>of small and/or local prisons</w:t>
      </w:r>
      <w:r w:rsidRPr="000E57F5">
        <w:rPr>
          <w:sz w:val="24"/>
          <w:szCs w:val="24"/>
          <w:lang w:eastAsia="en-GB"/>
        </w:rPr>
        <w:t xml:space="preserve"> appear to be ensuring availability of specialist services for women</w:t>
      </w:r>
      <w:r w:rsidR="00CB0D3E" w:rsidRPr="000E57F5">
        <w:rPr>
          <w:sz w:val="24"/>
          <w:szCs w:val="24"/>
          <w:lang w:eastAsia="en-GB"/>
        </w:rPr>
        <w:t xml:space="preserve"> with complex needs</w:t>
      </w:r>
      <w:r w:rsidRPr="000E57F5">
        <w:rPr>
          <w:sz w:val="24"/>
          <w:szCs w:val="24"/>
          <w:lang w:eastAsia="en-GB"/>
        </w:rPr>
        <w:t xml:space="preserve">, </w:t>
      </w:r>
      <w:r w:rsidR="00772DBB" w:rsidRPr="000E57F5">
        <w:rPr>
          <w:sz w:val="24"/>
          <w:szCs w:val="24"/>
          <w:lang w:eastAsia="en-GB"/>
        </w:rPr>
        <w:t xml:space="preserve">reducing the risk of isolation </w:t>
      </w:r>
      <w:r w:rsidR="001F13E0" w:rsidRPr="000E57F5">
        <w:rPr>
          <w:sz w:val="24"/>
          <w:szCs w:val="24"/>
          <w:lang w:eastAsia="en-GB"/>
        </w:rPr>
        <w:t xml:space="preserve">(from services) </w:t>
      </w:r>
      <w:r w:rsidR="00772DBB" w:rsidRPr="000E57F5">
        <w:rPr>
          <w:sz w:val="24"/>
          <w:szCs w:val="24"/>
          <w:lang w:eastAsia="en-GB"/>
        </w:rPr>
        <w:t xml:space="preserve">in small and/or </w:t>
      </w:r>
      <w:r w:rsidR="005E7291" w:rsidRPr="000E57F5">
        <w:rPr>
          <w:sz w:val="24"/>
          <w:szCs w:val="24"/>
          <w:lang w:eastAsia="en-GB"/>
        </w:rPr>
        <w:t xml:space="preserve">community-based </w:t>
      </w:r>
      <w:r w:rsidR="00772DBB" w:rsidRPr="000E57F5">
        <w:rPr>
          <w:sz w:val="24"/>
          <w:szCs w:val="24"/>
          <w:lang w:eastAsia="en-GB"/>
        </w:rPr>
        <w:t xml:space="preserve">units, </w:t>
      </w:r>
      <w:r w:rsidRPr="000E57F5">
        <w:rPr>
          <w:sz w:val="24"/>
          <w:szCs w:val="24"/>
          <w:lang w:eastAsia="en-GB"/>
        </w:rPr>
        <w:t xml:space="preserve">and transforming the ethos, culture and practice of </w:t>
      </w:r>
      <w:r w:rsidR="005E7291" w:rsidRPr="000E57F5">
        <w:rPr>
          <w:rFonts w:cs="Arial"/>
          <w:sz w:val="24"/>
          <w:szCs w:val="24"/>
        </w:rPr>
        <w:t>prison staff and management,</w:t>
      </w:r>
      <w:r w:rsidR="005E7291" w:rsidRPr="000E57F5">
        <w:rPr>
          <w:sz w:val="24"/>
          <w:szCs w:val="24"/>
          <w:lang w:eastAsia="en-GB"/>
        </w:rPr>
        <w:t xml:space="preserve"> and </w:t>
      </w:r>
      <w:r w:rsidRPr="000E57F5">
        <w:rPr>
          <w:sz w:val="24"/>
          <w:szCs w:val="24"/>
          <w:lang w:eastAsia="en-GB"/>
        </w:rPr>
        <w:t xml:space="preserve">the wider criminal justice system, </w:t>
      </w:r>
      <w:r w:rsidR="00772DBB" w:rsidRPr="000E57F5">
        <w:rPr>
          <w:rFonts w:cs="Arial"/>
          <w:sz w:val="24"/>
          <w:szCs w:val="24"/>
        </w:rPr>
        <w:t xml:space="preserve">in particular </w:t>
      </w:r>
      <w:r w:rsidR="00DF1A32" w:rsidRPr="000E57F5">
        <w:rPr>
          <w:rFonts w:cs="Arial"/>
          <w:sz w:val="24"/>
          <w:szCs w:val="24"/>
        </w:rPr>
        <w:t>sentencing practices</w:t>
      </w:r>
      <w:r w:rsidR="005E7291" w:rsidRPr="000E57F5">
        <w:rPr>
          <w:rFonts w:cs="Arial"/>
          <w:sz w:val="24"/>
          <w:szCs w:val="24"/>
        </w:rPr>
        <w:t>.</w:t>
      </w:r>
      <w:r w:rsidR="00DF1A32" w:rsidRPr="000E57F5">
        <w:rPr>
          <w:rFonts w:cs="Arial"/>
          <w:sz w:val="24"/>
          <w:szCs w:val="24"/>
        </w:rPr>
        <w:t xml:space="preserve"> </w:t>
      </w:r>
    </w:p>
    <w:p w14:paraId="7259FE16" w14:textId="77777777" w:rsidR="00566934" w:rsidRPr="000E57F5" w:rsidRDefault="00A85324" w:rsidP="006F0C6A">
      <w:pPr>
        <w:pStyle w:val="SGBullet"/>
        <w:rPr>
          <w:sz w:val="24"/>
          <w:szCs w:val="24"/>
        </w:rPr>
      </w:pPr>
      <w:r w:rsidRPr="000E57F5">
        <w:rPr>
          <w:sz w:val="24"/>
          <w:szCs w:val="24"/>
        </w:rPr>
        <w:t xml:space="preserve">The evidence suggests that whilst there are sound reasons for considering </w:t>
      </w:r>
      <w:r w:rsidR="00B44465" w:rsidRPr="000E57F5">
        <w:rPr>
          <w:sz w:val="24"/>
          <w:szCs w:val="24"/>
        </w:rPr>
        <w:t>small, local prisons</w:t>
      </w:r>
      <w:r w:rsidRPr="000E57F5">
        <w:rPr>
          <w:sz w:val="24"/>
          <w:szCs w:val="24"/>
        </w:rPr>
        <w:t xml:space="preserve"> which bring women in custody closer to their families, social networks and community services, the evidence on the impact (e.g. on reoffending) of specific </w:t>
      </w:r>
      <w:r w:rsidR="00CB0D3E" w:rsidRPr="000E57F5">
        <w:rPr>
          <w:sz w:val="24"/>
          <w:szCs w:val="24"/>
        </w:rPr>
        <w:t>prison</w:t>
      </w:r>
      <w:r w:rsidRPr="000E57F5">
        <w:rPr>
          <w:sz w:val="24"/>
          <w:szCs w:val="24"/>
        </w:rPr>
        <w:t xml:space="preserve"> models is fairly limited.  </w:t>
      </w:r>
      <w:r w:rsidR="00943299" w:rsidRPr="000E57F5">
        <w:rPr>
          <w:sz w:val="24"/>
          <w:szCs w:val="24"/>
        </w:rPr>
        <w:t>Whilst prison</w:t>
      </w:r>
      <w:r w:rsidR="005E7291" w:rsidRPr="000E57F5">
        <w:rPr>
          <w:sz w:val="24"/>
          <w:szCs w:val="24"/>
        </w:rPr>
        <w:t xml:space="preserve"> size,</w:t>
      </w:r>
      <w:r w:rsidR="00943299" w:rsidRPr="000E57F5">
        <w:rPr>
          <w:sz w:val="24"/>
          <w:szCs w:val="24"/>
        </w:rPr>
        <w:t xml:space="preserve"> design and location are important factors they are not in themselves guarantors of success.</w:t>
      </w:r>
      <w:r w:rsidR="00566934" w:rsidRPr="000E57F5">
        <w:rPr>
          <w:sz w:val="24"/>
          <w:szCs w:val="24"/>
          <w:lang w:eastAsia="en-GB"/>
        </w:rPr>
        <w:t xml:space="preserve"> </w:t>
      </w:r>
    </w:p>
    <w:p w14:paraId="01758D41" w14:textId="77777777" w:rsidR="003D3C13" w:rsidRPr="006F0C6A" w:rsidRDefault="00566934" w:rsidP="006F0C6A">
      <w:pPr>
        <w:pStyle w:val="SGBullet"/>
        <w:rPr>
          <w:b/>
        </w:rPr>
      </w:pPr>
      <w:r w:rsidRPr="000E57F5">
        <w:rPr>
          <w:sz w:val="24"/>
          <w:szCs w:val="24"/>
          <w:lang w:eastAsia="en-GB"/>
        </w:rPr>
        <w:t>Prison</w:t>
      </w:r>
      <w:r w:rsidR="00D571BA" w:rsidRPr="000E57F5">
        <w:rPr>
          <w:sz w:val="24"/>
          <w:szCs w:val="24"/>
          <w:lang w:eastAsia="en-GB"/>
        </w:rPr>
        <w:t xml:space="preserve"> reform </w:t>
      </w:r>
      <w:r w:rsidRPr="000E57F5">
        <w:rPr>
          <w:sz w:val="24"/>
          <w:szCs w:val="24"/>
          <w:lang w:eastAsia="en-GB"/>
        </w:rPr>
        <w:t>is likely to be more effective if it i</w:t>
      </w:r>
      <w:r w:rsidR="006F0C6A" w:rsidRPr="000E57F5">
        <w:rPr>
          <w:sz w:val="24"/>
          <w:szCs w:val="24"/>
          <w:lang w:eastAsia="en-GB"/>
        </w:rPr>
        <w:t>s part of</w:t>
      </w:r>
      <w:r w:rsidRPr="000E57F5">
        <w:rPr>
          <w:sz w:val="24"/>
          <w:szCs w:val="24"/>
          <w:lang w:eastAsia="en-GB"/>
        </w:rPr>
        <w:t xml:space="preserve"> wider penal reform.  Countries with lower rates of female prison populations tend to have different sentencing practices, </w:t>
      </w:r>
      <w:r w:rsidR="00DF1A32" w:rsidRPr="000E57F5">
        <w:rPr>
          <w:sz w:val="24"/>
          <w:szCs w:val="24"/>
          <w:lang w:eastAsia="en-GB"/>
        </w:rPr>
        <w:t>including a</w:t>
      </w:r>
      <w:r w:rsidRPr="000E57F5">
        <w:rPr>
          <w:sz w:val="24"/>
          <w:szCs w:val="24"/>
          <w:lang w:eastAsia="en-GB"/>
        </w:rPr>
        <w:t xml:space="preserve"> greater use of </w:t>
      </w:r>
      <w:r w:rsidR="00CB0D3E" w:rsidRPr="000E57F5">
        <w:rPr>
          <w:sz w:val="24"/>
          <w:szCs w:val="24"/>
          <w:lang w:eastAsia="en-GB"/>
        </w:rPr>
        <w:t xml:space="preserve">alternatives to custody and </w:t>
      </w:r>
      <w:r w:rsidRPr="000E57F5">
        <w:rPr>
          <w:sz w:val="24"/>
          <w:szCs w:val="24"/>
          <w:lang w:eastAsia="en-GB"/>
        </w:rPr>
        <w:t>open prisons than is currently available in Scotland.</w:t>
      </w:r>
      <w:r w:rsidR="003D3C13" w:rsidRPr="006F0C6A">
        <w:br w:type="page"/>
      </w:r>
    </w:p>
    <w:p w14:paraId="15B8A273" w14:textId="77777777" w:rsidR="00EA24EA" w:rsidRDefault="00EA24EA" w:rsidP="00EA24EA">
      <w:pPr>
        <w:pStyle w:val="Heading1blue"/>
        <w:numPr>
          <w:ilvl w:val="0"/>
          <w:numId w:val="33"/>
        </w:numPr>
      </w:pPr>
      <w:bookmarkStart w:id="2" w:name="_Toc429555795"/>
      <w:r>
        <w:lastRenderedPageBreak/>
        <w:t>Executive Summary</w:t>
      </w:r>
      <w:bookmarkEnd w:id="2"/>
    </w:p>
    <w:p w14:paraId="673CD338" w14:textId="77777777" w:rsidR="00EA56CA" w:rsidRPr="00EA56CA" w:rsidRDefault="00EA56CA" w:rsidP="00EA56CA">
      <w:pPr>
        <w:jc w:val="both"/>
        <w:rPr>
          <w:rFonts w:eastAsia="Times New Roman"/>
          <w:sz w:val="24"/>
        </w:rPr>
      </w:pPr>
    </w:p>
    <w:p w14:paraId="237FEE97" w14:textId="77777777" w:rsidR="00943299" w:rsidRDefault="00943299" w:rsidP="00402D02">
      <w:pPr>
        <w:pStyle w:val="SGBodytext"/>
        <w:sectPr w:rsidR="00943299" w:rsidSect="00B051EC">
          <w:footerReference w:type="default" r:id="rId11"/>
          <w:footnotePr>
            <w:numFmt w:val="lowerRoman"/>
          </w:footnotePr>
          <w:endnotePr>
            <w:numFmt w:val="decimal"/>
          </w:endnotePr>
          <w:pgSz w:w="11900" w:h="16840" w:code="9"/>
          <w:pgMar w:top="1134" w:right="1134" w:bottom="851" w:left="1134" w:header="851" w:footer="851" w:gutter="0"/>
          <w:cols w:space="708"/>
          <w:docGrid w:linePitch="360"/>
        </w:sectPr>
      </w:pPr>
    </w:p>
    <w:p w14:paraId="7DF0CD8D" w14:textId="77777777" w:rsidR="00EA56CA" w:rsidRPr="00CD076F" w:rsidRDefault="00EA56CA" w:rsidP="00402D02">
      <w:pPr>
        <w:pStyle w:val="SGBodytext"/>
      </w:pPr>
      <w:r w:rsidRPr="00CD076F">
        <w:lastRenderedPageBreak/>
        <w:t xml:space="preserve">This report summarises some of the international evidence on different approaches to managing women in custody.  It was prepared to inform the consultation undertaken by the Scottish Government and the Scottish Prison Service in relation to the redesign of the female custodial estate in Scotland.  Particular emphasis was given to countries with low female prison populations (typically Scandinavian countries) and those with </w:t>
      </w:r>
      <w:r w:rsidR="007D255F" w:rsidRPr="00CD076F">
        <w:t>women-only</w:t>
      </w:r>
      <w:r w:rsidR="006F0C6A" w:rsidRPr="00CD076F">
        <w:t>,</w:t>
      </w:r>
      <w:r w:rsidR="007D255F" w:rsidRPr="00CD076F">
        <w:t xml:space="preserve"> </w:t>
      </w:r>
      <w:r w:rsidR="00BE2F4C" w:rsidRPr="00CD076F">
        <w:t xml:space="preserve">small and/or </w:t>
      </w:r>
      <w:r w:rsidR="00821229" w:rsidRPr="00CD076F">
        <w:t xml:space="preserve">local </w:t>
      </w:r>
      <w:r w:rsidR="007E537B" w:rsidRPr="00CD076F">
        <w:t>prisons</w:t>
      </w:r>
      <w:r w:rsidRPr="00CD076F">
        <w:t xml:space="preserve"> (as recommended in the </w:t>
      </w:r>
      <w:r w:rsidR="00401708" w:rsidRPr="00CD076F">
        <w:t>Commission on Women Offenders</w:t>
      </w:r>
      <w:r w:rsidRPr="00CD076F">
        <w:t xml:space="preserve"> 2012 report</w:t>
      </w:r>
      <w:r w:rsidR="006F0C6A" w:rsidRPr="00CD076F">
        <w:rPr>
          <w:rStyle w:val="EndnoteReference"/>
        </w:rPr>
        <w:endnoteReference w:id="1"/>
      </w:r>
      <w:r w:rsidRPr="00CD076F">
        <w:t>).</w:t>
      </w:r>
    </w:p>
    <w:p w14:paraId="1A0A8AFE" w14:textId="77777777" w:rsidR="00EA56CA" w:rsidRPr="000E57F5" w:rsidRDefault="00EA56CA" w:rsidP="009049E1">
      <w:pPr>
        <w:spacing w:before="180" w:after="120" w:line="400" w:lineRule="exact"/>
        <w:rPr>
          <w:b/>
          <w:color w:val="002060"/>
          <w:sz w:val="24"/>
          <w:szCs w:val="24"/>
        </w:rPr>
      </w:pPr>
      <w:r w:rsidRPr="000E57F5">
        <w:rPr>
          <w:b/>
          <w:color w:val="002060"/>
          <w:sz w:val="24"/>
          <w:szCs w:val="24"/>
        </w:rPr>
        <w:t>Background and context</w:t>
      </w:r>
    </w:p>
    <w:p w14:paraId="2182F3FD" w14:textId="77777777" w:rsidR="00EA56CA" w:rsidRPr="00CD076F" w:rsidRDefault="00EA56CA" w:rsidP="00402D02">
      <w:pPr>
        <w:pStyle w:val="SGBodytext"/>
      </w:pPr>
      <w:r w:rsidRPr="00CD076F">
        <w:rPr>
          <w:b/>
        </w:rPr>
        <w:t>Scotland has</w:t>
      </w:r>
      <w:r w:rsidRPr="00CD076F">
        <w:t xml:space="preserve"> </w:t>
      </w:r>
      <w:r w:rsidRPr="00CD076F">
        <w:rPr>
          <w:b/>
        </w:rPr>
        <w:t>one of the highest female prison populations in Northern Europe</w:t>
      </w:r>
      <w:r w:rsidRPr="00CD076F">
        <w:t>.  The (average daily) female  prison population in Scotland is a</w:t>
      </w:r>
      <w:r w:rsidR="007E537B" w:rsidRPr="00CD076F">
        <w:t>pproximately 400, with about 315</w:t>
      </w:r>
      <w:r w:rsidRPr="00CD076F">
        <w:t xml:space="preserve"> sentenced prisoners and </w:t>
      </w:r>
      <w:r w:rsidR="007E537B" w:rsidRPr="00CD076F">
        <w:t>85</w:t>
      </w:r>
      <w:r w:rsidRPr="00CD076F">
        <w:t xml:space="preserve"> on remand.  This represents approximately 5.5% of the total prison population. </w:t>
      </w:r>
    </w:p>
    <w:p w14:paraId="37D6EFDA" w14:textId="77777777" w:rsidR="00EA56CA" w:rsidRPr="00CD076F" w:rsidRDefault="00EA56CA" w:rsidP="00402D02">
      <w:pPr>
        <w:pStyle w:val="SGBodytext"/>
      </w:pPr>
      <w:r w:rsidRPr="00CD076F">
        <w:t xml:space="preserve">The </w:t>
      </w:r>
      <w:r w:rsidRPr="00CD076F">
        <w:rPr>
          <w:b/>
        </w:rPr>
        <w:t>growth in the female prison population</w:t>
      </w:r>
      <w:r w:rsidRPr="00CD076F">
        <w:t xml:space="preserve"> appears to have been driven by increases in</w:t>
      </w:r>
      <w:r w:rsidR="00EE636D" w:rsidRPr="00CD076F">
        <w:t xml:space="preserve"> custodial</w:t>
      </w:r>
      <w:r w:rsidRPr="00CD076F">
        <w:t xml:space="preserve"> convictions for serious violent crime, drugs offences, and common assault, rather than crimes of dishonesty such as shoplifting which have remained broadly </w:t>
      </w:r>
      <w:r w:rsidR="007E537B" w:rsidRPr="00CD076F">
        <w:t>stable</w:t>
      </w:r>
      <w:r w:rsidRPr="00CD076F">
        <w:t xml:space="preserve"> over the last 15 years (though they still account </w:t>
      </w:r>
      <w:r w:rsidR="007E537B" w:rsidRPr="00CD076F">
        <w:t xml:space="preserve">for one fifth of </w:t>
      </w:r>
      <w:r w:rsidR="00BE2F4C" w:rsidRPr="00CD076F">
        <w:t xml:space="preserve">the average daily </w:t>
      </w:r>
      <w:r w:rsidR="00F73822" w:rsidRPr="00CD076F">
        <w:t>prison population</w:t>
      </w:r>
      <w:r w:rsidRPr="00CD076F">
        <w:t>).</w:t>
      </w:r>
    </w:p>
    <w:p w14:paraId="4BBC47D9" w14:textId="77777777" w:rsidR="00EA56CA" w:rsidRPr="000E57F5" w:rsidRDefault="00EA56CA" w:rsidP="009049E1">
      <w:pPr>
        <w:spacing w:before="180" w:after="120" w:line="400" w:lineRule="exact"/>
        <w:rPr>
          <w:b/>
          <w:color w:val="002060"/>
          <w:sz w:val="24"/>
          <w:szCs w:val="24"/>
        </w:rPr>
      </w:pPr>
      <w:r w:rsidRPr="000E57F5">
        <w:rPr>
          <w:b/>
          <w:color w:val="002060"/>
          <w:sz w:val="24"/>
          <w:szCs w:val="24"/>
        </w:rPr>
        <w:t>International models of women in custody</w:t>
      </w:r>
    </w:p>
    <w:p w14:paraId="111D3EE1" w14:textId="77777777" w:rsidR="00F619E1" w:rsidRPr="00CD076F" w:rsidRDefault="00EA56CA" w:rsidP="00402D02">
      <w:pPr>
        <w:pStyle w:val="SGBodytext"/>
      </w:pPr>
      <w:r w:rsidRPr="00CD076F">
        <w:t xml:space="preserve">A wide range of prison models exist internationally.  Many Scandinavian countries maintain low prison populations through widespread use of </w:t>
      </w:r>
      <w:r w:rsidRPr="00CD076F">
        <w:rPr>
          <w:b/>
        </w:rPr>
        <w:t>non-</w:t>
      </w:r>
      <w:r w:rsidRPr="00CD076F">
        <w:rPr>
          <w:b/>
        </w:rPr>
        <w:lastRenderedPageBreak/>
        <w:t>residential alternatives</w:t>
      </w:r>
      <w:r w:rsidRPr="00CD076F">
        <w:t xml:space="preserve"> such as intensive supervision and electronic monitoring in Sweden, and Finland’s gradual release scheme where prisoners can serve the last six months of their sentence in their community. </w:t>
      </w:r>
      <w:r w:rsidR="00F619E1" w:rsidRPr="00CD076F">
        <w:t xml:space="preserve"> </w:t>
      </w:r>
      <w:r w:rsidR="0043583B" w:rsidRPr="00CD076F">
        <w:t xml:space="preserve">Similarly, </w:t>
      </w:r>
      <w:r w:rsidR="00F619E1" w:rsidRPr="00CD076F">
        <w:t xml:space="preserve">Ireland’s community return programme </w:t>
      </w:r>
      <w:r w:rsidR="0043583B" w:rsidRPr="00CD076F">
        <w:t>has seen about a third of women (given a custodial sentence) on temporary release to the community.</w:t>
      </w:r>
    </w:p>
    <w:p w14:paraId="2A01F88F" w14:textId="77777777" w:rsidR="00EA56CA" w:rsidRPr="00CD076F" w:rsidRDefault="00EA56CA" w:rsidP="00402D02">
      <w:pPr>
        <w:pStyle w:val="SGBodytext"/>
      </w:pPr>
      <w:r w:rsidRPr="00CD076F">
        <w:rPr>
          <w:b/>
        </w:rPr>
        <w:t>Open prisons</w:t>
      </w:r>
      <w:r w:rsidRPr="00CD076F">
        <w:t xml:space="preserve"> and smaller </w:t>
      </w:r>
      <w:r w:rsidRPr="00CD076F">
        <w:rPr>
          <w:b/>
        </w:rPr>
        <w:t>community residential facilities</w:t>
      </w:r>
      <w:r w:rsidRPr="00CD076F">
        <w:t xml:space="preserve"> are widely used in many countries (including Germany, Australia and most Scandinavian countries) to prepare women for release and enable them to maintain links with the community; in some cases enabling women to work in the community (returning to prison in the evening) and reside with their children.  </w:t>
      </w:r>
    </w:p>
    <w:p w14:paraId="28A94FFB" w14:textId="77777777" w:rsidR="00EA56CA" w:rsidRPr="00CD076F" w:rsidRDefault="00EA56CA" w:rsidP="00402D02">
      <w:pPr>
        <w:pStyle w:val="SGBodytext"/>
      </w:pPr>
      <w:r w:rsidRPr="00CD076F">
        <w:t xml:space="preserve">Some countries (such as Canada and Australia) have established </w:t>
      </w:r>
      <w:r w:rsidRPr="00CD076F">
        <w:rPr>
          <w:b/>
        </w:rPr>
        <w:t xml:space="preserve">‘campus style’ </w:t>
      </w:r>
      <w:r w:rsidR="0014588B" w:rsidRPr="00CD076F">
        <w:rPr>
          <w:b/>
        </w:rPr>
        <w:t xml:space="preserve">facilities </w:t>
      </w:r>
      <w:r w:rsidRPr="00CD076F">
        <w:t xml:space="preserve">in which women are held in a cluster of small </w:t>
      </w:r>
      <w:r w:rsidR="00F73822" w:rsidRPr="00CD076F">
        <w:t xml:space="preserve">units or </w:t>
      </w:r>
      <w:r w:rsidR="00F73822" w:rsidRPr="00CD076F">
        <w:rPr>
          <w:b/>
        </w:rPr>
        <w:t>‘cottages’</w:t>
      </w:r>
      <w:r w:rsidR="00F73822" w:rsidRPr="00CD076F">
        <w:t xml:space="preserve"> </w:t>
      </w:r>
      <w:r w:rsidRPr="00CD076F">
        <w:t xml:space="preserve">(housing up to 10 women per house).  In Canada, for example, there are six </w:t>
      </w:r>
      <w:r w:rsidR="00F73822" w:rsidRPr="00CD076F">
        <w:t xml:space="preserve">federal </w:t>
      </w:r>
      <w:r w:rsidRPr="00CD076F">
        <w:t xml:space="preserve">facilities in which women live in shared houses.  The facilities house minimum, medium and maximum-security women in one ‘campus’.  The ethos of these types of facilities is one of </w:t>
      </w:r>
      <w:r w:rsidRPr="00CD076F">
        <w:rPr>
          <w:b/>
        </w:rPr>
        <w:t>‘self-care’</w:t>
      </w:r>
      <w:r w:rsidR="00633070" w:rsidRPr="00CD076F">
        <w:rPr>
          <w:b/>
        </w:rPr>
        <w:t>,</w:t>
      </w:r>
      <w:r w:rsidRPr="00CD076F">
        <w:t xml:space="preserve"> </w:t>
      </w:r>
      <w:r w:rsidR="00633070" w:rsidRPr="00CD076F">
        <w:t xml:space="preserve">or independent living, </w:t>
      </w:r>
      <w:r w:rsidRPr="00CD076F">
        <w:t xml:space="preserve">in which women typically cook, clean and shop </w:t>
      </w:r>
      <w:r w:rsidR="00BE03B0" w:rsidRPr="00CD076F">
        <w:t>together</w:t>
      </w:r>
      <w:r w:rsidRPr="00CD076F">
        <w:t>, thereby taking</w:t>
      </w:r>
      <w:r w:rsidR="00867C08" w:rsidRPr="00CD076F">
        <w:t xml:space="preserve"> responsibility for themselves, </w:t>
      </w:r>
      <w:r w:rsidRPr="00CD076F">
        <w:t xml:space="preserve">and in some cases their children.  </w:t>
      </w:r>
    </w:p>
    <w:p w14:paraId="026E1559" w14:textId="77777777" w:rsidR="00EA56CA" w:rsidRPr="00CD076F" w:rsidRDefault="00EA56CA" w:rsidP="00402D02">
      <w:pPr>
        <w:pStyle w:val="SGBodytext"/>
      </w:pPr>
      <w:r w:rsidRPr="00CD076F">
        <w:t xml:space="preserve">Most Scandinavian countries also have </w:t>
      </w:r>
      <w:r w:rsidRPr="00CD076F">
        <w:rPr>
          <w:b/>
        </w:rPr>
        <w:t>dedicated women’s prisons</w:t>
      </w:r>
      <w:r w:rsidRPr="00CD076F">
        <w:t xml:space="preserve"> which typically house up to 60 </w:t>
      </w:r>
      <w:r w:rsidR="00F73822" w:rsidRPr="00CD076F">
        <w:t>women with different levels of security</w:t>
      </w:r>
      <w:r w:rsidRPr="00CD076F">
        <w:t xml:space="preserve">, enabling women towards the end of a lengthy sentence to </w:t>
      </w:r>
      <w:r w:rsidR="00A764A3" w:rsidRPr="00CD076F">
        <w:t>spend time</w:t>
      </w:r>
      <w:r w:rsidRPr="00CD076F">
        <w:t xml:space="preserve"> outside the </w:t>
      </w:r>
      <w:r w:rsidRPr="00CD076F">
        <w:lastRenderedPageBreak/>
        <w:t>prison, as well as providing overnight facilities for families to spend time with their mothers in custody.</w:t>
      </w:r>
    </w:p>
    <w:p w14:paraId="54359D8B" w14:textId="77777777" w:rsidR="00EA56CA" w:rsidRPr="000E57F5" w:rsidRDefault="00EA56CA" w:rsidP="009049E1">
      <w:pPr>
        <w:spacing w:before="180" w:after="120" w:line="400" w:lineRule="exact"/>
        <w:rPr>
          <w:b/>
          <w:color w:val="002060"/>
          <w:sz w:val="24"/>
          <w:szCs w:val="24"/>
        </w:rPr>
      </w:pPr>
      <w:r w:rsidRPr="000E57F5">
        <w:rPr>
          <w:b/>
          <w:color w:val="002060"/>
          <w:sz w:val="24"/>
          <w:szCs w:val="24"/>
        </w:rPr>
        <w:t>The Scandinavian approach</w:t>
      </w:r>
    </w:p>
    <w:p w14:paraId="27E9CFC4" w14:textId="77777777" w:rsidR="00EA56CA" w:rsidRPr="00CD076F" w:rsidRDefault="00EA56CA" w:rsidP="00402D02">
      <w:pPr>
        <w:pStyle w:val="SGBodytext"/>
      </w:pPr>
      <w:r w:rsidRPr="00CD076F">
        <w:rPr>
          <w:b/>
        </w:rPr>
        <w:t>Scandinavian countries</w:t>
      </w:r>
      <w:r w:rsidR="007D255F" w:rsidRPr="00CD076F">
        <w:rPr>
          <w:b/>
        </w:rPr>
        <w:t xml:space="preserve"> </w:t>
      </w:r>
      <w:r w:rsidR="007D255F" w:rsidRPr="00CD076F">
        <w:t>(Sweden, Norway, Finland and Denmark)</w:t>
      </w:r>
      <w:r w:rsidRPr="00CD076F">
        <w:t>, which have fewer women in custody, tend to adopt a pro-welfare, non-punitive approach</w:t>
      </w:r>
      <w:r w:rsidR="00A764A3" w:rsidRPr="00CD076F">
        <w:t>.  The</w:t>
      </w:r>
      <w:r w:rsidRPr="00CD076F">
        <w:t xml:space="preserve"> </w:t>
      </w:r>
      <w:r w:rsidRPr="00CD076F">
        <w:rPr>
          <w:b/>
        </w:rPr>
        <w:t>principle of ‘normalisation’</w:t>
      </w:r>
      <w:r w:rsidRPr="00CD076F">
        <w:t xml:space="preserve"> is embedded into all aspects of the criminal justice system.  This stipulates that prison life should resemble life outside of prison as far as possible.  Some of the core features of the Scandinavian approach include:</w:t>
      </w:r>
    </w:p>
    <w:p w14:paraId="4FD45CC2" w14:textId="77777777" w:rsidR="00EA56CA" w:rsidRPr="000E57F5" w:rsidRDefault="00EA56CA" w:rsidP="006F0C6A">
      <w:pPr>
        <w:pStyle w:val="SGBullet"/>
        <w:rPr>
          <w:sz w:val="24"/>
          <w:szCs w:val="24"/>
          <w:lang w:eastAsia="en-GB"/>
        </w:rPr>
      </w:pPr>
      <w:r w:rsidRPr="000E57F5">
        <w:rPr>
          <w:sz w:val="24"/>
          <w:szCs w:val="24"/>
          <w:lang w:eastAsia="en-GB"/>
        </w:rPr>
        <w:t>Penal policy is expert-driven and research-led rather than politically-led</w:t>
      </w:r>
    </w:p>
    <w:p w14:paraId="20F74E0D" w14:textId="77777777" w:rsidR="00EA56CA" w:rsidRPr="000E57F5" w:rsidRDefault="00EA56CA" w:rsidP="006F0C6A">
      <w:pPr>
        <w:pStyle w:val="SGBullet"/>
        <w:rPr>
          <w:sz w:val="24"/>
          <w:szCs w:val="24"/>
          <w:lang w:eastAsia="en-GB"/>
        </w:rPr>
      </w:pPr>
      <w:r w:rsidRPr="000E57F5">
        <w:rPr>
          <w:sz w:val="24"/>
          <w:szCs w:val="24"/>
          <w:lang w:eastAsia="en-GB"/>
        </w:rPr>
        <w:t xml:space="preserve">Prisoners undertake purposeful activities during the day (e.g. work, education) </w:t>
      </w:r>
    </w:p>
    <w:p w14:paraId="4A7A1ED1" w14:textId="77777777" w:rsidR="00EA56CA" w:rsidRPr="000E57F5" w:rsidRDefault="00EA56CA" w:rsidP="006F0C6A">
      <w:pPr>
        <w:pStyle w:val="SGBullet"/>
        <w:rPr>
          <w:sz w:val="24"/>
          <w:szCs w:val="24"/>
          <w:lang w:eastAsia="en-GB"/>
        </w:rPr>
      </w:pPr>
      <w:r w:rsidRPr="000E57F5">
        <w:rPr>
          <w:sz w:val="24"/>
          <w:szCs w:val="24"/>
          <w:lang w:eastAsia="en-GB"/>
        </w:rPr>
        <w:t xml:space="preserve">Widespread use of community supervision, conditional imprisonment, and open prisons </w:t>
      </w:r>
    </w:p>
    <w:p w14:paraId="49FD0673" w14:textId="77777777" w:rsidR="00EA56CA" w:rsidRPr="000E57F5" w:rsidRDefault="00EA56CA" w:rsidP="006F0C6A">
      <w:pPr>
        <w:pStyle w:val="SGBullet"/>
        <w:rPr>
          <w:sz w:val="24"/>
          <w:szCs w:val="24"/>
          <w:lang w:eastAsia="en-GB"/>
        </w:rPr>
      </w:pPr>
      <w:proofErr w:type="spellStart"/>
      <w:r w:rsidRPr="000E57F5">
        <w:rPr>
          <w:sz w:val="24"/>
          <w:szCs w:val="24"/>
          <w:lang w:eastAsia="en-GB"/>
        </w:rPr>
        <w:t>Professionalisation</w:t>
      </w:r>
      <w:proofErr w:type="spellEnd"/>
      <w:r w:rsidRPr="000E57F5">
        <w:rPr>
          <w:sz w:val="24"/>
          <w:szCs w:val="24"/>
          <w:lang w:eastAsia="en-GB"/>
        </w:rPr>
        <w:t xml:space="preserve"> of prison staff (mandatory two-three years training)</w:t>
      </w:r>
    </w:p>
    <w:p w14:paraId="0AED5168" w14:textId="77777777" w:rsidR="00EA56CA" w:rsidRPr="000E57F5" w:rsidRDefault="00EA56CA" w:rsidP="006F0C6A">
      <w:pPr>
        <w:pStyle w:val="SGBullet"/>
        <w:rPr>
          <w:sz w:val="24"/>
          <w:szCs w:val="24"/>
          <w:lang w:eastAsia="en-GB"/>
        </w:rPr>
      </w:pPr>
      <w:r w:rsidRPr="000E57F5">
        <w:rPr>
          <w:sz w:val="24"/>
          <w:szCs w:val="24"/>
          <w:lang w:eastAsia="en-GB"/>
        </w:rPr>
        <w:t xml:space="preserve">Dedicated </w:t>
      </w:r>
      <w:r w:rsidR="00BA0C99" w:rsidRPr="000E57F5">
        <w:rPr>
          <w:sz w:val="24"/>
          <w:szCs w:val="24"/>
          <w:lang w:eastAsia="en-GB"/>
        </w:rPr>
        <w:t xml:space="preserve">(small) </w:t>
      </w:r>
      <w:r w:rsidRPr="000E57F5">
        <w:rPr>
          <w:sz w:val="24"/>
          <w:szCs w:val="24"/>
          <w:lang w:eastAsia="en-GB"/>
        </w:rPr>
        <w:t xml:space="preserve">facilities for women </w:t>
      </w:r>
    </w:p>
    <w:p w14:paraId="4D58BE46" w14:textId="77777777" w:rsidR="00EA56CA" w:rsidRPr="000E57F5" w:rsidRDefault="00EA56CA" w:rsidP="006F0C6A">
      <w:pPr>
        <w:pStyle w:val="SGBullet"/>
        <w:rPr>
          <w:sz w:val="24"/>
          <w:szCs w:val="24"/>
          <w:lang w:eastAsia="en-GB"/>
        </w:rPr>
      </w:pPr>
      <w:r w:rsidRPr="000E57F5">
        <w:rPr>
          <w:sz w:val="24"/>
          <w:szCs w:val="24"/>
          <w:lang w:eastAsia="en-GB"/>
        </w:rPr>
        <w:t>Emphasis placed on maintaining a mother’s contact with her children</w:t>
      </w:r>
    </w:p>
    <w:p w14:paraId="608865CF" w14:textId="77777777" w:rsidR="00EA56CA" w:rsidRPr="000E57F5" w:rsidRDefault="00EA56CA" w:rsidP="006F0C6A">
      <w:pPr>
        <w:pStyle w:val="SGBullet"/>
        <w:rPr>
          <w:sz w:val="24"/>
          <w:szCs w:val="24"/>
          <w:lang w:eastAsia="en-GB"/>
        </w:rPr>
      </w:pPr>
      <w:r w:rsidRPr="000E57F5">
        <w:rPr>
          <w:sz w:val="24"/>
          <w:szCs w:val="24"/>
          <w:lang w:eastAsia="en-GB"/>
        </w:rPr>
        <w:t>Public support for a rehabilitative approach</w:t>
      </w:r>
    </w:p>
    <w:p w14:paraId="6BB6A2FE" w14:textId="77777777" w:rsidR="00EA56CA" w:rsidRPr="000E57F5" w:rsidRDefault="00EA56CA" w:rsidP="006F0C6A">
      <w:pPr>
        <w:pStyle w:val="SGBullet"/>
        <w:rPr>
          <w:rFonts w:ascii="Times New Roman" w:hAnsi="Times New Roman"/>
          <w:sz w:val="24"/>
          <w:szCs w:val="24"/>
          <w:lang w:eastAsia="en-GB"/>
        </w:rPr>
      </w:pPr>
      <w:r w:rsidRPr="000E57F5">
        <w:rPr>
          <w:sz w:val="24"/>
          <w:szCs w:val="24"/>
          <w:lang w:eastAsia="en-GB"/>
        </w:rPr>
        <w:t xml:space="preserve">Policy is not influenced by </w:t>
      </w:r>
      <w:proofErr w:type="spellStart"/>
      <w:r w:rsidRPr="000E57F5">
        <w:rPr>
          <w:sz w:val="24"/>
          <w:szCs w:val="24"/>
          <w:lang w:eastAsia="en-GB"/>
        </w:rPr>
        <w:t>sensationalisation</w:t>
      </w:r>
      <w:proofErr w:type="spellEnd"/>
      <w:r w:rsidRPr="000E57F5">
        <w:rPr>
          <w:sz w:val="24"/>
          <w:szCs w:val="24"/>
          <w:lang w:eastAsia="en-GB"/>
        </w:rPr>
        <w:t xml:space="preserve"> of crime or victimisation</w:t>
      </w:r>
      <w:r w:rsidR="006E4E22" w:rsidRPr="000E57F5">
        <w:rPr>
          <w:sz w:val="24"/>
          <w:szCs w:val="24"/>
          <w:lang w:eastAsia="en-GB"/>
        </w:rPr>
        <w:t>.</w:t>
      </w:r>
      <w:r w:rsidRPr="000E57F5">
        <w:rPr>
          <w:sz w:val="24"/>
          <w:szCs w:val="24"/>
          <w:lang w:eastAsia="en-GB"/>
        </w:rPr>
        <w:t xml:space="preserve"> </w:t>
      </w:r>
    </w:p>
    <w:p w14:paraId="5897E096" w14:textId="77777777" w:rsidR="00EA56CA" w:rsidRPr="00CD076F" w:rsidRDefault="00EA56CA" w:rsidP="00402D02">
      <w:pPr>
        <w:pStyle w:val="SGBodytext"/>
      </w:pPr>
      <w:r w:rsidRPr="00CD076F">
        <w:t xml:space="preserve">Whilst it is possible to identify the conditions that have contributed to the Scandinavian penal system, there is no simple formula to its effectiveness.  However, there are  important lessons </w:t>
      </w:r>
      <w:r w:rsidR="0043583B" w:rsidRPr="00CD076F">
        <w:t xml:space="preserve">which </w:t>
      </w:r>
      <w:r w:rsidRPr="00CD076F">
        <w:t xml:space="preserve">can be learned from its approach, most notably the emphasis placed on </w:t>
      </w:r>
      <w:r w:rsidRPr="00CD076F">
        <w:lastRenderedPageBreak/>
        <w:t xml:space="preserve">community supervision and open prisons, the  professionalisation of prison staff and the principle of normality, which underpins Scandinavia’s humane approach to its prisoners and its prioritisation of reintegration </w:t>
      </w:r>
      <w:r w:rsidR="007D255F" w:rsidRPr="00CD076F">
        <w:t>(</w:t>
      </w:r>
      <w:r w:rsidRPr="00CD076F">
        <w:t>over retribution</w:t>
      </w:r>
      <w:r w:rsidR="007D255F" w:rsidRPr="00CD076F">
        <w:t>)</w:t>
      </w:r>
      <w:r w:rsidRPr="00CD076F">
        <w:t xml:space="preserve">.  </w:t>
      </w:r>
    </w:p>
    <w:p w14:paraId="558FAD23" w14:textId="77777777" w:rsidR="00EA56CA" w:rsidRPr="000E57F5" w:rsidRDefault="00EA56CA" w:rsidP="009049E1">
      <w:pPr>
        <w:spacing w:before="180" w:after="120" w:line="400" w:lineRule="exact"/>
        <w:rPr>
          <w:b/>
          <w:color w:val="002060"/>
          <w:sz w:val="24"/>
          <w:szCs w:val="24"/>
        </w:rPr>
      </w:pPr>
      <w:r w:rsidRPr="000E57F5">
        <w:rPr>
          <w:b/>
          <w:color w:val="002060"/>
          <w:sz w:val="24"/>
          <w:szCs w:val="24"/>
        </w:rPr>
        <w:t>Learning from Canada</w:t>
      </w:r>
    </w:p>
    <w:p w14:paraId="03F1FEF8" w14:textId="77777777" w:rsidR="00EA56CA" w:rsidRPr="00CD076F" w:rsidRDefault="00EA56CA" w:rsidP="00402D02">
      <w:pPr>
        <w:pStyle w:val="SGBodytext"/>
      </w:pPr>
      <w:r w:rsidRPr="00CD076F">
        <w:rPr>
          <w:b/>
        </w:rPr>
        <w:t xml:space="preserve">Canada </w:t>
      </w:r>
      <w:r w:rsidRPr="00CD076F">
        <w:t xml:space="preserve">has </w:t>
      </w:r>
      <w:r w:rsidR="009C46A8" w:rsidRPr="00CD076F">
        <w:t>moved</w:t>
      </w:r>
      <w:r w:rsidRPr="00CD076F">
        <w:t xml:space="preserve"> from a traditional, male-centric approach to a </w:t>
      </w:r>
      <w:r w:rsidRPr="00CD076F">
        <w:rPr>
          <w:b/>
        </w:rPr>
        <w:t>women-only regional system</w:t>
      </w:r>
      <w:r w:rsidRPr="00CD076F">
        <w:t xml:space="preserve"> in which women are held nearer home, can have private family visits and receive trauma counselling.  However, although the original ethos of ‘self-care’ remains sound, a number of studies have criticised its implementation.  Since the 1990s the new prison regime has had to cope with </w:t>
      </w:r>
      <w:r w:rsidRPr="00CD076F">
        <w:rPr>
          <w:b/>
        </w:rPr>
        <w:t>increasing levels of female i</w:t>
      </w:r>
      <w:r w:rsidR="00EE636D" w:rsidRPr="00CD076F">
        <w:rPr>
          <w:b/>
        </w:rPr>
        <w:t>m</w:t>
      </w:r>
      <w:r w:rsidR="0043583B" w:rsidRPr="00CD076F">
        <w:rPr>
          <w:b/>
        </w:rPr>
        <w:t>prisonment</w:t>
      </w:r>
      <w:r w:rsidRPr="00CD076F">
        <w:t xml:space="preserve"> and as a result has had to expand rather than contract.  This has been attributed (in part) to an increase in the use of short sentences, particularly for women with mental health problems. </w:t>
      </w:r>
    </w:p>
    <w:p w14:paraId="75CF2F1B" w14:textId="77777777" w:rsidR="00EA56CA" w:rsidRPr="00CD076F" w:rsidRDefault="00EA56CA" w:rsidP="00402D02">
      <w:pPr>
        <w:pStyle w:val="SGBodytext"/>
      </w:pPr>
      <w:r w:rsidRPr="00CD076F">
        <w:t xml:space="preserve">The main </w:t>
      </w:r>
      <w:r w:rsidRPr="00CD076F">
        <w:rPr>
          <w:b/>
        </w:rPr>
        <w:t>lessons from Canada</w:t>
      </w:r>
      <w:r w:rsidRPr="00CD076F">
        <w:t xml:space="preserve"> are that specialist </w:t>
      </w:r>
      <w:r w:rsidR="00562D70" w:rsidRPr="00CD076F">
        <w:t>health</w:t>
      </w:r>
      <w:r w:rsidRPr="00CD076F">
        <w:t xml:space="preserve">care can be </w:t>
      </w:r>
      <w:r w:rsidR="0043583B" w:rsidRPr="00CD076F">
        <w:t>difficult</w:t>
      </w:r>
      <w:r w:rsidRPr="00CD076F">
        <w:t xml:space="preserve"> to deliver in a </w:t>
      </w:r>
      <w:r w:rsidR="0043583B" w:rsidRPr="00CD076F">
        <w:t xml:space="preserve">federalised </w:t>
      </w:r>
      <w:r w:rsidRPr="00CD076F">
        <w:t xml:space="preserve">model (Canada have since established </w:t>
      </w:r>
      <w:r w:rsidR="00562D70" w:rsidRPr="00CD076F">
        <w:t>two</w:t>
      </w:r>
      <w:r w:rsidRPr="00CD076F">
        <w:t xml:space="preserve"> national unit</w:t>
      </w:r>
      <w:r w:rsidR="00562D70" w:rsidRPr="00CD076F">
        <w:t>s</w:t>
      </w:r>
      <w:r w:rsidRPr="00CD076F">
        <w:t xml:space="preserve"> for women with complex psychological problems), and that transformation must go </w:t>
      </w:r>
      <w:r w:rsidR="0043583B" w:rsidRPr="00CD076F">
        <w:t>further than prison redesign.  E</w:t>
      </w:r>
      <w:r w:rsidRPr="00CD076F">
        <w:t>vidence highlights the importance of transforming prison staff and management culture</w:t>
      </w:r>
      <w:r w:rsidR="0043583B" w:rsidRPr="00CD076F">
        <w:t xml:space="preserve">, as well as ensuring adequate availability of </w:t>
      </w:r>
      <w:r w:rsidR="001C0CD4" w:rsidRPr="00CD076F">
        <w:t>programmes,</w:t>
      </w:r>
      <w:r w:rsidR="0043583B" w:rsidRPr="00CD076F">
        <w:t xml:space="preserve"> and preparing women for release (e.g. through temporary release)</w:t>
      </w:r>
      <w:r w:rsidRPr="00CD076F">
        <w:t>.</w:t>
      </w:r>
    </w:p>
    <w:p w14:paraId="284F15CC" w14:textId="77777777" w:rsidR="00EA56CA" w:rsidRPr="000E57F5" w:rsidRDefault="00EA56CA" w:rsidP="009049E1">
      <w:pPr>
        <w:spacing w:before="180" w:after="120" w:line="400" w:lineRule="exact"/>
        <w:rPr>
          <w:b/>
          <w:color w:val="002060"/>
          <w:sz w:val="24"/>
          <w:szCs w:val="24"/>
        </w:rPr>
      </w:pPr>
      <w:r w:rsidRPr="000E57F5">
        <w:rPr>
          <w:b/>
          <w:color w:val="002060"/>
          <w:sz w:val="24"/>
          <w:szCs w:val="24"/>
        </w:rPr>
        <w:t>Other policy considerations</w:t>
      </w:r>
    </w:p>
    <w:p w14:paraId="7D03F7AA" w14:textId="77777777" w:rsidR="00EA56CA" w:rsidRPr="00CD076F" w:rsidRDefault="00EA56CA" w:rsidP="00402D02">
      <w:pPr>
        <w:pStyle w:val="SGBodytext"/>
      </w:pPr>
      <w:r w:rsidRPr="00CD076F">
        <w:t xml:space="preserve">A range of </w:t>
      </w:r>
      <w:r w:rsidRPr="00CD076F">
        <w:rPr>
          <w:b/>
        </w:rPr>
        <w:t>policy considerations</w:t>
      </w:r>
      <w:r w:rsidRPr="00CD076F">
        <w:t xml:space="preserve"> are covered (briefly) in the report.  These include location, prison size, security, healthcare, financial costs, regime change, performance management, reintegration, sentencing practice, public acceptability, prison visits, and </w:t>
      </w:r>
      <w:r w:rsidR="00562D70" w:rsidRPr="00CD076F">
        <w:t xml:space="preserve">(in more </w:t>
      </w:r>
      <w:r w:rsidR="00562D70" w:rsidRPr="00CD076F">
        <w:lastRenderedPageBreak/>
        <w:t xml:space="preserve">depth) </w:t>
      </w:r>
      <w:r w:rsidRPr="00CD076F">
        <w:t>maintaining links with children and family.</w:t>
      </w:r>
    </w:p>
    <w:p w14:paraId="1C413CAE" w14:textId="77777777" w:rsidR="00A764A3" w:rsidRPr="00CD076F" w:rsidRDefault="00EA56CA" w:rsidP="00402D02">
      <w:pPr>
        <w:pStyle w:val="SGBodytext"/>
      </w:pPr>
      <w:r w:rsidRPr="00CD076F">
        <w:t>Evidence suggests that</w:t>
      </w:r>
      <w:r w:rsidR="00A764A3" w:rsidRPr="00CD076F">
        <w:t xml:space="preserve"> although</w:t>
      </w:r>
      <w:r w:rsidRPr="00CD076F">
        <w:t xml:space="preserve"> </w:t>
      </w:r>
      <w:r w:rsidRPr="00CD076F">
        <w:rPr>
          <w:b/>
        </w:rPr>
        <w:t>sentencing decisions</w:t>
      </w:r>
      <w:r w:rsidRPr="00CD076F">
        <w:t xml:space="preserve"> are</w:t>
      </w:r>
      <w:r w:rsidR="00EE636D" w:rsidRPr="00CD076F">
        <w:t xml:space="preserve"> usually</w:t>
      </w:r>
      <w:r w:rsidRPr="00CD076F">
        <w:t xml:space="preserve"> </w:t>
      </w:r>
      <w:r w:rsidR="00A764A3" w:rsidRPr="00CD076F">
        <w:t xml:space="preserve">driven by the nature of the offence, they </w:t>
      </w:r>
      <w:r w:rsidR="007D255F" w:rsidRPr="00CD076F">
        <w:t>can also be</w:t>
      </w:r>
      <w:r w:rsidR="00A764A3" w:rsidRPr="00CD076F">
        <w:t xml:space="preserve"> </w:t>
      </w:r>
      <w:r w:rsidRPr="00CD076F">
        <w:t>influenced by a women’s offending and sentencing history</w:t>
      </w:r>
      <w:r w:rsidR="009F1C49" w:rsidRPr="00CD076F">
        <w:t xml:space="preserve"> under certain circumstances</w:t>
      </w:r>
      <w:r w:rsidRPr="00CD076F">
        <w:t xml:space="preserve">.  This </w:t>
      </w:r>
      <w:r w:rsidR="00A764A3" w:rsidRPr="00CD076F">
        <w:t>may</w:t>
      </w:r>
      <w:r w:rsidRPr="00CD076F">
        <w:t xml:space="preserve"> result in low-level offenders with a history of non-compliance being at risk of custody.  It is </w:t>
      </w:r>
      <w:r w:rsidR="00EE636D" w:rsidRPr="00CD076F">
        <w:t xml:space="preserve">likely </w:t>
      </w:r>
      <w:r w:rsidRPr="00CD076F">
        <w:t xml:space="preserve">that some of the women </w:t>
      </w:r>
      <w:r w:rsidR="001C0CD4" w:rsidRPr="00CD076F">
        <w:t>on</w:t>
      </w:r>
      <w:r w:rsidRPr="00CD076F">
        <w:t xml:space="preserve"> remand and those serving short prison sentences may fall into this group.  Other influential factors </w:t>
      </w:r>
      <w:r w:rsidR="00A764A3" w:rsidRPr="00CD076F">
        <w:t>are</w:t>
      </w:r>
      <w:r w:rsidRPr="00CD076F">
        <w:t xml:space="preserve"> women’s </w:t>
      </w:r>
      <w:r w:rsidR="00562D70" w:rsidRPr="00CD076F">
        <w:t xml:space="preserve">presenting </w:t>
      </w:r>
      <w:r w:rsidRPr="00CD076F">
        <w:t xml:space="preserve">needs (particularly drug and mental health problems) and the availability and perceived effectiveness of community interventions.  Careful thought would need be given </w:t>
      </w:r>
      <w:r w:rsidR="00A764A3" w:rsidRPr="00CD076F">
        <w:t>to the pivotal role of the judiciary in any regime change, as well as the role of community services such as women’s community justice services.</w:t>
      </w:r>
    </w:p>
    <w:p w14:paraId="0DC1A5DF" w14:textId="77777777" w:rsidR="00EA56CA" w:rsidRPr="000E57F5" w:rsidRDefault="00EA56CA" w:rsidP="009049E1">
      <w:pPr>
        <w:spacing w:before="180" w:after="120" w:line="400" w:lineRule="exact"/>
        <w:rPr>
          <w:b/>
          <w:color w:val="002060"/>
          <w:sz w:val="24"/>
          <w:szCs w:val="24"/>
        </w:rPr>
      </w:pPr>
      <w:r w:rsidRPr="000E57F5">
        <w:rPr>
          <w:b/>
          <w:color w:val="002060"/>
          <w:sz w:val="24"/>
          <w:szCs w:val="24"/>
        </w:rPr>
        <w:t xml:space="preserve">Maintaining links with children </w:t>
      </w:r>
    </w:p>
    <w:p w14:paraId="59051A80" w14:textId="77777777" w:rsidR="00CB73DB" w:rsidRPr="00CD076F" w:rsidRDefault="00EA56CA" w:rsidP="00402D02">
      <w:pPr>
        <w:pStyle w:val="SGBodytext"/>
      </w:pPr>
      <w:r w:rsidRPr="00CD076F">
        <w:t xml:space="preserve">It is reported that </w:t>
      </w:r>
      <w:r w:rsidRPr="00CD076F">
        <w:rPr>
          <w:b/>
        </w:rPr>
        <w:t>separation from their children</w:t>
      </w:r>
      <w:r w:rsidRPr="00CD076F">
        <w:t xml:space="preserve"> is one of the most difficult aspects of imprisonment for women, and that family visits increase the likelihood of </w:t>
      </w:r>
      <w:r w:rsidR="001C0CD4" w:rsidRPr="00CD076F">
        <w:t xml:space="preserve">reintegration </w:t>
      </w:r>
      <w:r w:rsidRPr="00CD076F">
        <w:t xml:space="preserve">post-release and reduced reoffending.  Although precise figures are </w:t>
      </w:r>
      <w:r w:rsidR="00867C08" w:rsidRPr="00CD076F">
        <w:t>difficult</w:t>
      </w:r>
      <w:r w:rsidRPr="00CD076F">
        <w:t xml:space="preserve"> to obtain, approximately 65% of women in prison </w:t>
      </w:r>
      <w:r w:rsidR="00A764A3" w:rsidRPr="00CD076F">
        <w:t xml:space="preserve">in Scotland </w:t>
      </w:r>
      <w:r w:rsidRPr="00CD076F">
        <w:t xml:space="preserve">report being mothers.  Current evidence </w:t>
      </w:r>
      <w:r w:rsidR="00AE0B63" w:rsidRPr="00CD076F">
        <w:t xml:space="preserve">suggests that </w:t>
      </w:r>
      <w:r w:rsidR="00CB73DB" w:rsidRPr="00CD076F">
        <w:t xml:space="preserve">a sizeable proportion of mothers in prison (about 40%) report not having childcare responsibilities prior to imprisonment which may explain in part why only four in ten mothers receive family visits.  Having said that, the vast majority of women (about 70%) with caring responsibilties prior to imprisonment intend to resume that care on release.  </w:t>
      </w:r>
    </w:p>
    <w:p w14:paraId="33D68D12" w14:textId="77777777" w:rsidR="00EA56CA" w:rsidRPr="00CD076F" w:rsidRDefault="00DC39B4" w:rsidP="00402D02">
      <w:pPr>
        <w:pStyle w:val="SGBodytext"/>
      </w:pPr>
      <w:r w:rsidRPr="00CD076F">
        <w:t xml:space="preserve">Wider evidence suggests that </w:t>
      </w:r>
      <w:r w:rsidRPr="00CD076F">
        <w:rPr>
          <w:b/>
        </w:rPr>
        <w:t>l</w:t>
      </w:r>
      <w:r w:rsidR="00EA56CA" w:rsidRPr="00CD076F">
        <w:rPr>
          <w:b/>
        </w:rPr>
        <w:t>ack of familial contact</w:t>
      </w:r>
      <w:r w:rsidR="00EA56CA" w:rsidRPr="00CD076F">
        <w:t xml:space="preserve"> </w:t>
      </w:r>
      <w:r w:rsidR="00CB73DB" w:rsidRPr="00CD076F">
        <w:t>tends to be</w:t>
      </w:r>
      <w:r w:rsidR="00EA56CA" w:rsidRPr="00CD076F">
        <w:t xml:space="preserve"> attributed to travel and cost constraints, carer (and </w:t>
      </w:r>
      <w:r w:rsidR="00EA56CA" w:rsidRPr="00CD076F">
        <w:lastRenderedPageBreak/>
        <w:t>prisoner) unwillingness and inappropriate visiting environments.</w:t>
      </w:r>
    </w:p>
    <w:p w14:paraId="48EECCF2" w14:textId="77777777" w:rsidR="00EA56CA" w:rsidRPr="00CD076F" w:rsidRDefault="00EA56CA" w:rsidP="00402D02">
      <w:pPr>
        <w:pStyle w:val="SGBodytext"/>
      </w:pPr>
      <w:r w:rsidRPr="00CD076F">
        <w:t xml:space="preserve">There is some (albeit limited) evidence that the </w:t>
      </w:r>
      <w:r w:rsidRPr="00CD076F">
        <w:rPr>
          <w:b/>
        </w:rPr>
        <w:t>detrimental impact on children</w:t>
      </w:r>
      <w:r w:rsidRPr="00CD076F">
        <w:t xml:space="preserve"> of parental imprisonment is more pronounced when the mother is imprisoned, given that mothers are more likely to have parenting responsibilities.  The impact of parental imprisonment on children ranges from home and school moves, to poor academic performance, </w:t>
      </w:r>
      <w:r w:rsidR="00313C10" w:rsidRPr="00CD076F">
        <w:t xml:space="preserve">and </w:t>
      </w:r>
      <w:r w:rsidRPr="00CD076F">
        <w:t xml:space="preserve">increased risk of mental health problems and </w:t>
      </w:r>
      <w:r w:rsidR="00313C10" w:rsidRPr="00CD076F">
        <w:t>involvement</w:t>
      </w:r>
      <w:r w:rsidRPr="00CD076F">
        <w:t xml:space="preserve"> with the criminal justice system.  </w:t>
      </w:r>
    </w:p>
    <w:p w14:paraId="0C393EDA" w14:textId="77777777" w:rsidR="00EA56CA" w:rsidRPr="00CD076F" w:rsidRDefault="00EA56CA" w:rsidP="00402D02">
      <w:pPr>
        <w:pStyle w:val="SGBodytext"/>
      </w:pPr>
      <w:r w:rsidRPr="00CD076F">
        <w:t xml:space="preserve">Countries vary considerably in how mother-child contact is enabled.  Whilst many countries allow young children to reside with their mothers in prison, the maximum age of children varies, from 12 months in Sweden to three years in Spain and Denmark.  Germany, which is reported to have the most </w:t>
      </w:r>
      <w:r w:rsidRPr="00CD076F">
        <w:rPr>
          <w:b/>
        </w:rPr>
        <w:t>child-centred approach</w:t>
      </w:r>
      <w:r w:rsidRPr="00CD076F">
        <w:t xml:space="preserve">, has implemented some innovative approaches for women offenders with children, including allowing women 21 days leave per year to </w:t>
      </w:r>
      <w:r w:rsidR="00A764A3" w:rsidRPr="00CD076F">
        <w:t>spend time</w:t>
      </w:r>
      <w:r w:rsidRPr="00CD076F">
        <w:t xml:space="preserve"> with their children, and providing half-way houses where women can live with their children</w:t>
      </w:r>
      <w:r w:rsidR="00A764A3" w:rsidRPr="00CD076F">
        <w:t>, in some cases,</w:t>
      </w:r>
      <w:r w:rsidRPr="00CD076F">
        <w:t xml:space="preserve"> up to the age of 6.  Best practice approaches for parent-child relationships include family-friendly visiting facilities, parenting programmes, </w:t>
      </w:r>
      <w:r w:rsidR="001C0CD4" w:rsidRPr="00CD076F">
        <w:t xml:space="preserve">maximising the use of </w:t>
      </w:r>
      <w:r w:rsidRPr="00CD076F">
        <w:t>new technologies (e.g. Skype), overnight visits of non-resident children, and continuation of family support on release.</w:t>
      </w:r>
    </w:p>
    <w:p w14:paraId="0B2CE9FF" w14:textId="77777777" w:rsidR="00EA56CA" w:rsidRPr="000E57F5" w:rsidRDefault="00EA56CA" w:rsidP="009049E1">
      <w:pPr>
        <w:spacing w:before="180" w:after="120" w:line="400" w:lineRule="exact"/>
        <w:rPr>
          <w:b/>
          <w:color w:val="002060"/>
          <w:sz w:val="24"/>
          <w:szCs w:val="24"/>
        </w:rPr>
      </w:pPr>
      <w:r w:rsidRPr="000E57F5">
        <w:rPr>
          <w:b/>
          <w:color w:val="002060"/>
          <w:sz w:val="24"/>
          <w:szCs w:val="24"/>
        </w:rPr>
        <w:t>Risks and other considerations</w:t>
      </w:r>
    </w:p>
    <w:p w14:paraId="551982F9" w14:textId="77777777" w:rsidR="006E4E22" w:rsidRPr="000E57F5" w:rsidRDefault="00EA56CA" w:rsidP="006E4E22">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ascii="Tahoma" w:hAnsi="Tahoma" w:cs="Tahoma"/>
          <w:sz w:val="24"/>
          <w:szCs w:val="24"/>
        </w:rPr>
      </w:pPr>
      <w:r w:rsidRPr="000E57F5">
        <w:rPr>
          <w:sz w:val="24"/>
          <w:szCs w:val="24"/>
        </w:rPr>
        <w:t xml:space="preserve">The report sets out a number of </w:t>
      </w:r>
      <w:r w:rsidRPr="000E57F5">
        <w:rPr>
          <w:b/>
          <w:sz w:val="24"/>
          <w:szCs w:val="24"/>
        </w:rPr>
        <w:t xml:space="preserve">risks and challenges of </w:t>
      </w:r>
      <w:r w:rsidR="00C838B1" w:rsidRPr="000E57F5">
        <w:rPr>
          <w:b/>
          <w:sz w:val="24"/>
          <w:szCs w:val="24"/>
        </w:rPr>
        <w:t>small, geographically dispersed prisons</w:t>
      </w:r>
      <w:r w:rsidRPr="000E57F5">
        <w:rPr>
          <w:sz w:val="24"/>
          <w:szCs w:val="24"/>
        </w:rPr>
        <w:t xml:space="preserve">, </w:t>
      </w:r>
      <w:r w:rsidR="00C838B1" w:rsidRPr="000E57F5">
        <w:rPr>
          <w:sz w:val="24"/>
          <w:szCs w:val="24"/>
        </w:rPr>
        <w:t>as indicated by</w:t>
      </w:r>
      <w:r w:rsidRPr="000E57F5">
        <w:rPr>
          <w:sz w:val="24"/>
          <w:szCs w:val="24"/>
        </w:rPr>
        <w:t xml:space="preserve"> the literature.  These include ensuring availability of specialist services for women </w:t>
      </w:r>
      <w:r w:rsidR="001C0CD4" w:rsidRPr="000E57F5">
        <w:rPr>
          <w:sz w:val="24"/>
          <w:szCs w:val="24"/>
        </w:rPr>
        <w:t xml:space="preserve">with complex (psychological) needs </w:t>
      </w:r>
      <w:r w:rsidRPr="000E57F5">
        <w:rPr>
          <w:sz w:val="24"/>
          <w:szCs w:val="24"/>
        </w:rPr>
        <w:t xml:space="preserve">and, in a similar vein, reducing the risk of isolation from services which small and/or </w:t>
      </w:r>
      <w:r w:rsidR="001C0CD4" w:rsidRPr="000E57F5">
        <w:rPr>
          <w:sz w:val="24"/>
          <w:szCs w:val="24"/>
        </w:rPr>
        <w:t xml:space="preserve">community-based </w:t>
      </w:r>
      <w:r w:rsidRPr="000E57F5">
        <w:rPr>
          <w:sz w:val="24"/>
          <w:szCs w:val="24"/>
        </w:rPr>
        <w:t xml:space="preserve">prisons may be </w:t>
      </w:r>
      <w:r w:rsidRPr="000E57F5">
        <w:rPr>
          <w:sz w:val="24"/>
          <w:szCs w:val="24"/>
        </w:rPr>
        <w:lastRenderedPageBreak/>
        <w:t>vulnerable to</w:t>
      </w:r>
      <w:r w:rsidR="00804E8F" w:rsidRPr="000E57F5">
        <w:rPr>
          <w:sz w:val="24"/>
          <w:szCs w:val="24"/>
        </w:rPr>
        <w:t xml:space="preserve"> (particularly those in rural areas)</w:t>
      </w:r>
      <w:r w:rsidRPr="000E57F5">
        <w:rPr>
          <w:sz w:val="24"/>
          <w:szCs w:val="24"/>
        </w:rPr>
        <w:t xml:space="preserve">.    </w:t>
      </w:r>
      <w:r w:rsidR="006E4E22" w:rsidRPr="000E57F5">
        <w:rPr>
          <w:rFonts w:ascii="Tahoma" w:hAnsi="Tahoma" w:cs="Tahoma"/>
          <w:color w:val="000000"/>
          <w:sz w:val="24"/>
          <w:szCs w:val="24"/>
        </w:rPr>
        <w:t>Other challenges include overcoming the barriers to family visits and the influence of sentencing on prison populations.</w:t>
      </w:r>
    </w:p>
    <w:p w14:paraId="4EC27228" w14:textId="77777777" w:rsidR="00EA56CA" w:rsidRPr="00CD076F" w:rsidRDefault="00EA56CA" w:rsidP="00402D02">
      <w:pPr>
        <w:pStyle w:val="SGBodytext"/>
      </w:pPr>
    </w:p>
    <w:p w14:paraId="14A2515C" w14:textId="77777777" w:rsidR="00EA56CA" w:rsidRPr="000E57F5" w:rsidRDefault="00EA56CA" w:rsidP="009049E1">
      <w:pPr>
        <w:spacing w:before="180" w:after="120" w:line="400" w:lineRule="exact"/>
        <w:rPr>
          <w:b/>
          <w:color w:val="002060"/>
          <w:sz w:val="24"/>
          <w:szCs w:val="24"/>
        </w:rPr>
      </w:pPr>
      <w:r w:rsidRPr="000E57F5">
        <w:rPr>
          <w:b/>
          <w:color w:val="002060"/>
          <w:sz w:val="24"/>
          <w:szCs w:val="24"/>
        </w:rPr>
        <w:t>Redefining custody?</w:t>
      </w:r>
    </w:p>
    <w:p w14:paraId="3217EE52" w14:textId="77777777" w:rsidR="00EA56CA" w:rsidRPr="00CD076F" w:rsidRDefault="00EA56CA" w:rsidP="00402D02">
      <w:pPr>
        <w:pStyle w:val="SGBodytext"/>
      </w:pPr>
      <w:r w:rsidRPr="00CD076F">
        <w:t xml:space="preserve">There is increasingly more evidence that </w:t>
      </w:r>
      <w:r w:rsidRPr="00CD076F">
        <w:rPr>
          <w:b/>
        </w:rPr>
        <w:t>women are less likely to reoffend following a community sentence</w:t>
      </w:r>
      <w:r w:rsidRPr="00CD076F">
        <w:t xml:space="preserve"> than a custodial one.  This gives rise to questions about the </w:t>
      </w:r>
      <w:r w:rsidRPr="00CD076F">
        <w:rPr>
          <w:b/>
        </w:rPr>
        <w:t>appropriateness of custody</w:t>
      </w:r>
      <w:r w:rsidRPr="00CD076F">
        <w:t xml:space="preserve"> for some women, particularly those on remand or serving short sentences for non-violent offences.  It is in this sense that consideration is given to redefining custody; </w:t>
      </w:r>
      <w:r w:rsidR="00DC39B4" w:rsidRPr="00CD076F">
        <w:t xml:space="preserve">for example, </w:t>
      </w:r>
      <w:r w:rsidRPr="00CD076F">
        <w:t>a woman might be considered to be ‘in custody’ whilst serving her sentence at home, or at work whilst living in an open prison.</w:t>
      </w:r>
    </w:p>
    <w:p w14:paraId="5B1E8698" w14:textId="77777777" w:rsidR="00EA56CA" w:rsidRPr="000E57F5" w:rsidRDefault="00EA56CA" w:rsidP="009049E1">
      <w:pPr>
        <w:spacing w:before="180" w:after="120" w:line="400" w:lineRule="exact"/>
        <w:rPr>
          <w:b/>
          <w:color w:val="002060"/>
          <w:sz w:val="24"/>
          <w:szCs w:val="24"/>
        </w:rPr>
      </w:pPr>
      <w:r w:rsidRPr="000E57F5">
        <w:rPr>
          <w:b/>
          <w:color w:val="002060"/>
          <w:sz w:val="24"/>
          <w:szCs w:val="24"/>
        </w:rPr>
        <w:t>Conclusion</w:t>
      </w:r>
      <w:r w:rsidR="00362642" w:rsidRPr="000E57F5">
        <w:rPr>
          <w:b/>
          <w:color w:val="002060"/>
          <w:sz w:val="24"/>
          <w:szCs w:val="24"/>
        </w:rPr>
        <w:t>s</w:t>
      </w:r>
    </w:p>
    <w:p w14:paraId="3D1E6802" w14:textId="77777777" w:rsidR="00EA56CA" w:rsidRPr="00CD076F" w:rsidRDefault="00EA56CA" w:rsidP="00402D02">
      <w:pPr>
        <w:pStyle w:val="SGBodytext"/>
      </w:pPr>
      <w:r w:rsidRPr="00CD076F">
        <w:t xml:space="preserve">There is limited </w:t>
      </w:r>
      <w:r w:rsidR="00DB0C12" w:rsidRPr="00CD076F">
        <w:t xml:space="preserve">robust </w:t>
      </w:r>
      <w:r w:rsidRPr="00CD076F">
        <w:t xml:space="preserve">evidence of the effectiveness (e.g. on reoffending) of different prison models.  Add to this the methodological problems with international comparisons, and it is </w:t>
      </w:r>
      <w:r w:rsidRPr="00CD076F">
        <w:rPr>
          <w:b/>
        </w:rPr>
        <w:t>hard to draw</w:t>
      </w:r>
      <w:r w:rsidR="00EE636D" w:rsidRPr="00CD076F">
        <w:rPr>
          <w:b/>
        </w:rPr>
        <w:t xml:space="preserve"> definitive</w:t>
      </w:r>
      <w:r w:rsidRPr="00CD076F">
        <w:rPr>
          <w:b/>
        </w:rPr>
        <w:t xml:space="preserve"> conclusions on ‘what works’</w:t>
      </w:r>
      <w:r w:rsidRPr="00CD076F">
        <w:t xml:space="preserve">.  Whilst prison </w:t>
      </w:r>
      <w:r w:rsidR="00BB5AD8" w:rsidRPr="00CD076F">
        <w:t xml:space="preserve">size, </w:t>
      </w:r>
      <w:r w:rsidRPr="00CD076F">
        <w:t xml:space="preserve">design and location are important factors they are not in themselves guarantors of </w:t>
      </w:r>
      <w:r w:rsidR="00DC39B4" w:rsidRPr="00CD076F">
        <w:t>a low female prison population</w:t>
      </w:r>
      <w:r w:rsidRPr="00CD076F">
        <w:t xml:space="preserve">.  That being said, implementing an ethos of ‘self-care’ </w:t>
      </w:r>
      <w:r w:rsidR="004E52EE" w:rsidRPr="00CD076F">
        <w:t xml:space="preserve">or independent living </w:t>
      </w:r>
      <w:r w:rsidRPr="00CD076F">
        <w:t xml:space="preserve">is dependent to </w:t>
      </w:r>
      <w:r w:rsidRPr="00CD076F">
        <w:lastRenderedPageBreak/>
        <w:t xml:space="preserve">some extent on the availability of suitable facilities (e.g. </w:t>
      </w:r>
      <w:r w:rsidR="001C0CD4" w:rsidRPr="00CD076F">
        <w:t>shared houses and/or ‘campus style’ settings</w:t>
      </w:r>
      <w:r w:rsidRPr="00CD076F">
        <w:t xml:space="preserve">).  Similarly, maintaining family and community </w:t>
      </w:r>
      <w:r w:rsidR="00E3381B" w:rsidRPr="00CD076F">
        <w:t xml:space="preserve">ties </w:t>
      </w:r>
      <w:r w:rsidRPr="00CD076F">
        <w:t xml:space="preserve">is better served by prisons located close to women’s homes.  </w:t>
      </w:r>
    </w:p>
    <w:p w14:paraId="5288F90E" w14:textId="77777777" w:rsidR="00EA56CA" w:rsidRPr="00CD076F" w:rsidRDefault="00EA56CA" w:rsidP="00402D02">
      <w:pPr>
        <w:pStyle w:val="SGBodytext"/>
      </w:pPr>
      <w:r w:rsidRPr="00CD076F">
        <w:t xml:space="preserve">Best practice appears to be underpinned by </w:t>
      </w:r>
      <w:r w:rsidR="00DB6E84" w:rsidRPr="00CD076F">
        <w:t xml:space="preserve">the Scandinavian principle of </w:t>
      </w:r>
      <w:r w:rsidRPr="00CD076F">
        <w:t xml:space="preserve">‘normalisation’ and a gender-specific approach.  Specifically, the conditions </w:t>
      </w:r>
      <w:r w:rsidR="001C0CD4" w:rsidRPr="00CD076F">
        <w:t>associated with</w:t>
      </w:r>
      <w:r w:rsidRPr="00CD076F">
        <w:t xml:space="preserve"> low female prison populations tend to comprise of a range of </w:t>
      </w:r>
      <w:r w:rsidRPr="00CD076F">
        <w:rPr>
          <w:b/>
        </w:rPr>
        <w:t>pro-normalisation</w:t>
      </w:r>
      <w:r w:rsidRPr="00CD076F">
        <w:t xml:space="preserve"> factors, including: sentencing (e.g. greater use of community</w:t>
      </w:r>
      <w:r w:rsidR="001C0CD4" w:rsidRPr="00CD076F">
        <w:t>-based</w:t>
      </w:r>
      <w:r w:rsidRPr="00CD076F">
        <w:t xml:space="preserve"> sanctions and open prisons), staff culture and training</w:t>
      </w:r>
      <w:r w:rsidR="004E52EE" w:rsidRPr="00CD076F">
        <w:t xml:space="preserve"> (e.g. </w:t>
      </w:r>
      <w:r w:rsidR="001F081A" w:rsidRPr="00CD076F">
        <w:t>gender-specific training</w:t>
      </w:r>
      <w:r w:rsidR="004E52EE" w:rsidRPr="00CD076F">
        <w:t>)</w:t>
      </w:r>
      <w:r w:rsidRPr="00CD076F">
        <w:t xml:space="preserve">, prison design and location (e.g. family-friendly facilities, </w:t>
      </w:r>
      <w:r w:rsidR="00350425" w:rsidRPr="00CD076F">
        <w:t>self-contained</w:t>
      </w:r>
      <w:r w:rsidR="001C0CD4" w:rsidRPr="00CD076F">
        <w:t xml:space="preserve"> housing</w:t>
      </w:r>
      <w:r w:rsidRPr="00CD076F">
        <w:t>), prisoner life (e.g.</w:t>
      </w:r>
      <w:r w:rsidR="00FD15F1" w:rsidRPr="00CD076F">
        <w:t xml:space="preserve"> independent living,</w:t>
      </w:r>
      <w:r w:rsidRPr="00CD076F">
        <w:t xml:space="preserve"> purposeful activities, parenting interventions) and rehabilitation</w:t>
      </w:r>
      <w:r w:rsidR="00562D70" w:rsidRPr="00CD076F">
        <w:t xml:space="preserve"> (e.g. linking women to community services)</w:t>
      </w:r>
      <w:r w:rsidRPr="00CD076F">
        <w:t>.</w:t>
      </w:r>
    </w:p>
    <w:p w14:paraId="6BC7703D" w14:textId="77777777" w:rsidR="00EA56CA" w:rsidRPr="00CD076F" w:rsidRDefault="00EA56CA" w:rsidP="00402D02">
      <w:pPr>
        <w:pStyle w:val="SGBodytext"/>
      </w:pPr>
      <w:r w:rsidRPr="00CD076F">
        <w:t xml:space="preserve">Much can be learned from other countries and the steps that some have taken to improve the experiences and outcomes of women who offend.  With the current drive for penal reform, Scotland is well-placed to learn from these experiences and develop an </w:t>
      </w:r>
      <w:r w:rsidR="00267455" w:rsidRPr="00CD076F">
        <w:rPr>
          <w:b/>
        </w:rPr>
        <w:t xml:space="preserve">evidence-based and </w:t>
      </w:r>
      <w:r w:rsidRPr="00CD076F">
        <w:rPr>
          <w:b/>
        </w:rPr>
        <w:t>gender-responsive approach</w:t>
      </w:r>
      <w:r w:rsidRPr="00CD076F">
        <w:t xml:space="preserve"> to working with women</w:t>
      </w:r>
      <w:r w:rsidR="00107032" w:rsidRPr="00CD076F">
        <w:t xml:space="preserve"> -</w:t>
      </w:r>
      <w:r w:rsidRPr="00CD076F">
        <w:t xml:space="preserve"> at risk of custody, in custody and beyond custody</w:t>
      </w:r>
      <w:r w:rsidR="00107032" w:rsidRPr="00CD076F">
        <w:t xml:space="preserve"> -</w:t>
      </w:r>
      <w:r w:rsidR="00562D70" w:rsidRPr="00CD076F">
        <w:t xml:space="preserve"> </w:t>
      </w:r>
      <w:r w:rsidRPr="00CD076F">
        <w:t>to improve their lives and those of their families</w:t>
      </w:r>
      <w:r w:rsidR="006F0C6A" w:rsidRPr="00CD076F">
        <w:t xml:space="preserve"> and communities</w:t>
      </w:r>
      <w:r w:rsidRPr="00CD076F">
        <w:t>.</w:t>
      </w:r>
    </w:p>
    <w:p w14:paraId="5D29D26A" w14:textId="77777777" w:rsidR="00943299" w:rsidRPr="000E57F5" w:rsidRDefault="00943299" w:rsidP="00EA24EA">
      <w:pPr>
        <w:rPr>
          <w:sz w:val="24"/>
          <w:szCs w:val="24"/>
        </w:rPr>
        <w:sectPr w:rsidR="00943299" w:rsidRPr="000E57F5" w:rsidSect="00943299">
          <w:footnotePr>
            <w:numFmt w:val="lowerRoman"/>
          </w:footnotePr>
          <w:endnotePr>
            <w:numFmt w:val="decimal"/>
          </w:endnotePr>
          <w:type w:val="continuous"/>
          <w:pgSz w:w="11900" w:h="16840" w:code="9"/>
          <w:pgMar w:top="1134" w:right="1134" w:bottom="851" w:left="1134" w:header="851" w:footer="851" w:gutter="0"/>
          <w:cols w:num="2" w:space="708"/>
          <w:docGrid w:linePitch="360"/>
        </w:sectPr>
      </w:pPr>
    </w:p>
    <w:p w14:paraId="287A08E5" w14:textId="77777777" w:rsidR="00EA24EA" w:rsidRPr="00EA24EA" w:rsidRDefault="00EA24EA" w:rsidP="00EA24EA"/>
    <w:p w14:paraId="6CB4119B" w14:textId="77777777" w:rsidR="00EA56CA" w:rsidRDefault="00EA56CA">
      <w:pPr>
        <w:tabs>
          <w:tab w:val="clear" w:pos="720"/>
          <w:tab w:val="clear" w:pos="1440"/>
          <w:tab w:val="clear" w:pos="2160"/>
          <w:tab w:val="clear" w:pos="2880"/>
          <w:tab w:val="clear" w:pos="4680"/>
          <w:tab w:val="clear" w:pos="5400"/>
          <w:tab w:val="clear" w:pos="9000"/>
        </w:tabs>
        <w:spacing w:line="240" w:lineRule="auto"/>
        <w:rPr>
          <w:rFonts w:eastAsiaTheme="majorEastAsia"/>
          <w:b/>
          <w:color w:val="064367"/>
          <w:sz w:val="44"/>
          <w:lang w:eastAsia="en-GB"/>
        </w:rPr>
      </w:pPr>
      <w:r>
        <w:rPr>
          <w:rFonts w:eastAsiaTheme="majorEastAsia"/>
          <w:lang w:eastAsia="en-GB"/>
        </w:rPr>
        <w:br w:type="page"/>
      </w:r>
    </w:p>
    <w:p w14:paraId="53144E09" w14:textId="77777777" w:rsidR="008A37EC" w:rsidRPr="008A37EC" w:rsidRDefault="008A37EC" w:rsidP="0010717A">
      <w:pPr>
        <w:pStyle w:val="Heading1blue"/>
        <w:numPr>
          <w:ilvl w:val="0"/>
          <w:numId w:val="33"/>
        </w:numPr>
        <w:rPr>
          <w:rFonts w:eastAsiaTheme="majorEastAsia"/>
          <w:lang w:eastAsia="en-GB"/>
        </w:rPr>
      </w:pPr>
      <w:bookmarkStart w:id="3" w:name="_Toc429555796"/>
      <w:r w:rsidRPr="008A37EC">
        <w:rPr>
          <w:rFonts w:eastAsiaTheme="majorEastAsia"/>
          <w:lang w:eastAsia="en-GB"/>
        </w:rPr>
        <w:lastRenderedPageBreak/>
        <w:t>Purpose and Scope</w:t>
      </w:r>
      <w:bookmarkEnd w:id="3"/>
    </w:p>
    <w:p w14:paraId="4D028A4F" w14:textId="77777777" w:rsidR="008A37EC" w:rsidRPr="008A37EC" w:rsidRDefault="008A37EC" w:rsidP="00402D02">
      <w:pPr>
        <w:pStyle w:val="SGBodytext"/>
      </w:pPr>
    </w:p>
    <w:p w14:paraId="7580C6C6" w14:textId="77777777" w:rsidR="008A37EC" w:rsidRPr="008A37EC" w:rsidRDefault="008A37EC" w:rsidP="00402D02">
      <w:pPr>
        <w:pStyle w:val="SGBodytext"/>
      </w:pPr>
      <w:r w:rsidRPr="008A37EC">
        <w:t>This report summarises some of the international evidence on different approaches to managing women in custody.  This report was prepared to inform the consultation undertaken by the Scottish Government and the Scottish Prison Service in relation to the redesign of the female custodial estate in Scotland.</w:t>
      </w:r>
    </w:p>
    <w:p w14:paraId="68567E1B" w14:textId="77777777" w:rsidR="008A37EC" w:rsidRPr="008A37EC" w:rsidRDefault="008A37EC" w:rsidP="00402D02">
      <w:pPr>
        <w:pStyle w:val="SGBodytext"/>
      </w:pPr>
      <w:r w:rsidRPr="008A37EC">
        <w:t xml:space="preserve">Due to time constraints it </w:t>
      </w:r>
      <w:r w:rsidR="00FB49B3">
        <w:t>was</w:t>
      </w:r>
      <w:r w:rsidRPr="008A37EC">
        <w:t xml:space="preserve"> not possible to </w:t>
      </w:r>
      <w:r w:rsidR="001C3190">
        <w:t>undertake</w:t>
      </w:r>
      <w:r w:rsidRPr="008A37EC">
        <w:t xml:space="preserve"> </w:t>
      </w:r>
      <w:r w:rsidR="001C3190">
        <w:t>a</w:t>
      </w:r>
      <w:r w:rsidRPr="008A37EC">
        <w:t xml:space="preserve"> systematic review of all models of custody.  Indeed, there already exists a number of relatively recent international reviews of women’s prisons which cover topics such as prison design and architecture, security, parental responsibilities, prison management, prison programmes and health.  It is not within the scope of this review to replicate these extensive pieces of work, or to review best practice in specific prison programmes.  </w:t>
      </w:r>
    </w:p>
    <w:p w14:paraId="5930CC77" w14:textId="77777777" w:rsidR="008A37EC" w:rsidRPr="008A37EC" w:rsidRDefault="008A37EC" w:rsidP="00402D02">
      <w:pPr>
        <w:pStyle w:val="SGBodytext"/>
      </w:pPr>
      <w:r w:rsidRPr="008A37EC">
        <w:t xml:space="preserve">Rather, the aim is to extract from these key reports a </w:t>
      </w:r>
      <w:r w:rsidRPr="00EB29FB">
        <w:rPr>
          <w:b/>
        </w:rPr>
        <w:t>description of the range of models</w:t>
      </w:r>
      <w:r w:rsidRPr="008A37EC">
        <w:t xml:space="preserve"> for women in custody adopted in different countries, with a particular emphasis on Scandinavian countries (which have low female prison populations) and Canada (which transitioned from a national to regional estate), and to consider the relevance of these approaches for Scotland.  This paper therefore relies heavily on the following reports:</w:t>
      </w:r>
    </w:p>
    <w:p w14:paraId="4020D855" w14:textId="77777777" w:rsidR="008A37EC" w:rsidRPr="000E57F5" w:rsidRDefault="008A37EC" w:rsidP="006F0C6A">
      <w:pPr>
        <w:pStyle w:val="SGBullet"/>
        <w:rPr>
          <w:rFonts w:ascii="Times New Roman" w:hAnsi="Times New Roman"/>
          <w:sz w:val="24"/>
          <w:szCs w:val="24"/>
          <w:lang w:eastAsia="en-GB"/>
        </w:rPr>
      </w:pPr>
      <w:r w:rsidRPr="000E57F5">
        <w:rPr>
          <w:sz w:val="24"/>
          <w:szCs w:val="24"/>
          <w:lang w:eastAsia="en-GB"/>
        </w:rPr>
        <w:t xml:space="preserve">International Centre for Prison Studies (ICPS) (2008) </w:t>
      </w:r>
      <w:r w:rsidRPr="000E57F5">
        <w:rPr>
          <w:i/>
          <w:sz w:val="24"/>
          <w:szCs w:val="24"/>
          <w:lang w:eastAsia="en-GB"/>
        </w:rPr>
        <w:t>International Profile of Women’s Prisons</w:t>
      </w:r>
      <w:r w:rsidRPr="000E57F5">
        <w:rPr>
          <w:sz w:val="24"/>
          <w:szCs w:val="24"/>
          <w:vertAlign w:val="superscript"/>
          <w:lang w:eastAsia="en-GB"/>
        </w:rPr>
        <w:endnoteReference w:id="2"/>
      </w:r>
      <w:r w:rsidRPr="000E57F5">
        <w:rPr>
          <w:sz w:val="24"/>
          <w:szCs w:val="24"/>
          <w:lang w:eastAsia="en-GB"/>
        </w:rPr>
        <w:t xml:space="preserve">  </w:t>
      </w:r>
    </w:p>
    <w:p w14:paraId="47180C52" w14:textId="77777777" w:rsidR="008A37EC" w:rsidRPr="000E57F5" w:rsidRDefault="008A37EC" w:rsidP="006F0C6A">
      <w:pPr>
        <w:pStyle w:val="SGBullet"/>
        <w:rPr>
          <w:sz w:val="24"/>
          <w:szCs w:val="24"/>
          <w:lang w:eastAsia="en-GB"/>
        </w:rPr>
      </w:pPr>
      <w:r w:rsidRPr="000E57F5">
        <w:rPr>
          <w:sz w:val="24"/>
          <w:szCs w:val="24"/>
          <w:lang w:eastAsia="en-GB"/>
        </w:rPr>
        <w:t>Bartels, L. &amp; Gaffney, A. (2011) Good practice in women’s prisons: A literature review</w:t>
      </w:r>
      <w:r w:rsidRPr="000E57F5">
        <w:rPr>
          <w:sz w:val="24"/>
          <w:szCs w:val="24"/>
          <w:vertAlign w:val="superscript"/>
          <w:lang w:eastAsia="en-GB"/>
        </w:rPr>
        <w:endnoteReference w:id="3"/>
      </w:r>
    </w:p>
    <w:p w14:paraId="009D7EA9" w14:textId="77777777" w:rsidR="008A37EC" w:rsidRPr="000E57F5" w:rsidRDefault="008A37EC" w:rsidP="006F0C6A">
      <w:pPr>
        <w:pStyle w:val="SGBullet"/>
        <w:rPr>
          <w:sz w:val="24"/>
          <w:szCs w:val="24"/>
          <w:lang w:eastAsia="en-GB"/>
        </w:rPr>
      </w:pPr>
      <w:r w:rsidRPr="000E57F5">
        <w:rPr>
          <w:sz w:val="24"/>
          <w:szCs w:val="24"/>
          <w:lang w:eastAsia="en-GB"/>
        </w:rPr>
        <w:t>Prison Reform Trust (PRT) (2013) International Good Practice: alternatives to imprisonment for women offenders</w:t>
      </w:r>
      <w:r w:rsidRPr="000E57F5">
        <w:rPr>
          <w:sz w:val="24"/>
          <w:szCs w:val="24"/>
          <w:vertAlign w:val="superscript"/>
          <w:lang w:eastAsia="en-GB"/>
        </w:rPr>
        <w:endnoteReference w:id="4"/>
      </w:r>
      <w:r w:rsidRPr="000E57F5">
        <w:rPr>
          <w:sz w:val="24"/>
          <w:szCs w:val="24"/>
          <w:lang w:eastAsia="en-GB"/>
        </w:rPr>
        <w:t xml:space="preserve"> </w:t>
      </w:r>
    </w:p>
    <w:p w14:paraId="3510B6D8" w14:textId="77777777" w:rsidR="008A37EC" w:rsidRPr="000E57F5" w:rsidRDefault="008A37EC" w:rsidP="006F0C6A">
      <w:pPr>
        <w:pStyle w:val="SGBullet"/>
        <w:rPr>
          <w:sz w:val="24"/>
          <w:szCs w:val="24"/>
          <w:lang w:eastAsia="en-GB"/>
        </w:rPr>
      </w:pPr>
      <w:r w:rsidRPr="000E57F5">
        <w:rPr>
          <w:sz w:val="24"/>
          <w:szCs w:val="24"/>
          <w:lang w:eastAsia="en-GB"/>
        </w:rPr>
        <w:t>Prison Reform Trust (2014) Transforming Lives: reducing women’s imprisonment</w:t>
      </w:r>
      <w:r w:rsidRPr="000E57F5">
        <w:rPr>
          <w:sz w:val="24"/>
          <w:szCs w:val="24"/>
          <w:vertAlign w:val="superscript"/>
          <w:lang w:eastAsia="en-GB"/>
        </w:rPr>
        <w:endnoteReference w:id="5"/>
      </w:r>
      <w:r w:rsidRPr="000E57F5">
        <w:rPr>
          <w:sz w:val="24"/>
          <w:szCs w:val="24"/>
          <w:lang w:eastAsia="en-GB"/>
        </w:rPr>
        <w:t xml:space="preserve">  </w:t>
      </w:r>
    </w:p>
    <w:p w14:paraId="5D433EB4" w14:textId="77777777" w:rsidR="008A37EC" w:rsidRPr="000E57F5" w:rsidRDefault="008A37EC" w:rsidP="006F0C6A">
      <w:pPr>
        <w:pStyle w:val="SGBullet"/>
        <w:rPr>
          <w:sz w:val="24"/>
          <w:szCs w:val="24"/>
          <w:lang w:eastAsia="en-GB"/>
        </w:rPr>
      </w:pPr>
      <w:proofErr w:type="spellStart"/>
      <w:r w:rsidRPr="000E57F5">
        <w:rPr>
          <w:sz w:val="24"/>
          <w:szCs w:val="24"/>
          <w:lang w:eastAsia="en-GB"/>
        </w:rPr>
        <w:t>Convery</w:t>
      </w:r>
      <w:proofErr w:type="spellEnd"/>
      <w:r w:rsidRPr="000E57F5">
        <w:rPr>
          <w:sz w:val="24"/>
          <w:szCs w:val="24"/>
          <w:lang w:eastAsia="en-GB"/>
        </w:rPr>
        <w:t>, U. (2009) Addressing Offending by Women: A Literature Review. Northern Ireland Office</w:t>
      </w:r>
      <w:r w:rsidRPr="000E57F5">
        <w:rPr>
          <w:sz w:val="24"/>
          <w:szCs w:val="24"/>
          <w:vertAlign w:val="superscript"/>
          <w:lang w:eastAsia="en-GB"/>
        </w:rPr>
        <w:endnoteReference w:id="6"/>
      </w:r>
    </w:p>
    <w:p w14:paraId="77C97A9B" w14:textId="77777777" w:rsidR="008A37EC" w:rsidRDefault="008A37EC" w:rsidP="00402D02">
      <w:pPr>
        <w:pStyle w:val="SGBodytext"/>
      </w:pPr>
      <w:r w:rsidRPr="008A37EC">
        <w:t>Existing literature reviews emphasise the difficulties in assessing good practice in women’s prisons</w:t>
      </w:r>
      <w:r w:rsidR="006D30D2">
        <w:t xml:space="preserve"> and comparing international evidence</w:t>
      </w:r>
      <w:r w:rsidRPr="008A37EC">
        <w:t>.  This is due to problems with outcome measures (</w:t>
      </w:r>
      <w:r w:rsidR="00FC6E02">
        <w:t>in particular</w:t>
      </w:r>
      <w:r w:rsidRPr="008A37EC">
        <w:t xml:space="preserve"> reconviction rates) </w:t>
      </w:r>
      <w:r w:rsidR="00367EE3">
        <w:t>and</w:t>
      </w:r>
      <w:r w:rsidRPr="008A37EC">
        <w:t xml:space="preserve"> a general lack of robust evaluations of prison services and programmes for women</w:t>
      </w:r>
      <w:r w:rsidRPr="008A37EC">
        <w:rPr>
          <w:vertAlign w:val="superscript"/>
        </w:rPr>
        <w:endnoteReference w:id="7"/>
      </w:r>
      <w:r w:rsidR="00B85CEC">
        <w:t xml:space="preserve">.  </w:t>
      </w:r>
      <w:r w:rsidR="00B06AF8">
        <w:t xml:space="preserve">More generally speaking, differences in crime rates, imprisonment rates, recidivism rates and sentencing practices make it very difficult to make </w:t>
      </w:r>
      <w:r w:rsidR="00FC6E02">
        <w:t xml:space="preserve">intelligent </w:t>
      </w:r>
      <w:r w:rsidR="00B06AF8">
        <w:t>international comparisons</w:t>
      </w:r>
      <w:r w:rsidR="00B06AF8">
        <w:rPr>
          <w:rStyle w:val="EndnoteReference"/>
        </w:rPr>
        <w:endnoteReference w:id="8"/>
      </w:r>
      <w:r w:rsidR="00B06AF8">
        <w:t xml:space="preserve">.  Any such exercise is outwith the scope of this review.  </w:t>
      </w:r>
      <w:r w:rsidR="00B85CEC" w:rsidRPr="008A37EC">
        <w:t xml:space="preserve">The literature on best practice is therefore somewhat limited in terms of its rigour.  </w:t>
      </w:r>
      <w:r w:rsidR="00562D70">
        <w:t xml:space="preserve"> </w:t>
      </w:r>
      <w:r w:rsidRPr="008A37EC">
        <w:t xml:space="preserve">Notwithstanding these limitations, however, this report provides an overview of what appear to be the most effective women-specific models.  </w:t>
      </w:r>
    </w:p>
    <w:p w14:paraId="07719488" w14:textId="77777777" w:rsidR="006D0FA9" w:rsidRPr="008A37EC" w:rsidRDefault="006D0FA9" w:rsidP="00402D02">
      <w:pPr>
        <w:pStyle w:val="SGBodytext"/>
      </w:pPr>
    </w:p>
    <w:p w14:paraId="2B5BE193" w14:textId="77777777" w:rsidR="008A37EC" w:rsidRPr="008A37EC" w:rsidRDefault="008A37EC" w:rsidP="00402D02">
      <w:pPr>
        <w:pStyle w:val="SGBodytext"/>
        <w:rPr>
          <w:rFonts w:eastAsiaTheme="majorEastAsia"/>
          <w:color w:val="4F81BD" w:themeColor="accent1"/>
          <w:spacing w:val="15"/>
        </w:rPr>
      </w:pPr>
      <w:r w:rsidRPr="008A37EC">
        <w:br w:type="page"/>
      </w:r>
    </w:p>
    <w:p w14:paraId="7EE998C5" w14:textId="77777777" w:rsidR="008A37EC" w:rsidRPr="008A37EC" w:rsidRDefault="008A37EC" w:rsidP="0010717A">
      <w:pPr>
        <w:pStyle w:val="Heading2blue"/>
        <w:rPr>
          <w:rFonts w:eastAsiaTheme="majorEastAsia"/>
        </w:rPr>
      </w:pPr>
      <w:bookmarkStart w:id="4" w:name="_Toc429555797"/>
      <w:r w:rsidRPr="008A37EC">
        <w:rPr>
          <w:rFonts w:eastAsiaTheme="majorEastAsia"/>
        </w:rPr>
        <w:lastRenderedPageBreak/>
        <w:t>Cont</w:t>
      </w:r>
      <w:r w:rsidR="00072B27">
        <w:rPr>
          <w:rFonts w:eastAsiaTheme="majorEastAsia"/>
        </w:rPr>
        <w:t>ents of this r</w:t>
      </w:r>
      <w:r w:rsidRPr="008A37EC">
        <w:rPr>
          <w:rFonts w:eastAsiaTheme="majorEastAsia"/>
        </w:rPr>
        <w:t>eport</w:t>
      </w:r>
      <w:bookmarkEnd w:id="4"/>
    </w:p>
    <w:p w14:paraId="6296ABA2" w14:textId="77777777" w:rsidR="00190189" w:rsidRDefault="00190189" w:rsidP="00402D02">
      <w:pPr>
        <w:pStyle w:val="SGBodytext"/>
      </w:pPr>
    </w:p>
    <w:p w14:paraId="49435F9C" w14:textId="77777777" w:rsidR="008A37EC" w:rsidRPr="008A37EC" w:rsidRDefault="008A37EC" w:rsidP="00402D02">
      <w:pPr>
        <w:pStyle w:val="SGBodytext"/>
      </w:pPr>
      <w:r w:rsidRPr="008A37EC">
        <w:t xml:space="preserve">The report begins with an overview of the female prison population and custodial estate in Scotland, followed by a short introduction to some best practice principles of managing women in custody.  The next section </w:t>
      </w:r>
      <w:r w:rsidR="0008408A">
        <w:t>describes</w:t>
      </w:r>
      <w:r w:rsidRPr="008A37EC">
        <w:t xml:space="preserve"> different models of custody internationally with an emphasis on small, open and/or </w:t>
      </w:r>
      <w:r w:rsidR="003D3C13">
        <w:t>local</w:t>
      </w:r>
      <w:r w:rsidRPr="008A37EC">
        <w:t xml:space="preserve"> prisons (rather than large,  national prison models which increasingly are deemed to be undesirable facilities for incarcerated women).  There then follows a short discussion on the Scandinavian and Canadian models, and the lessons that can be learned for Scotland.  Following this, the report discusses a number of policy considerations for women in custody such as healthcare and parental responsibilities.  The latter sections of the report cover a short consideration of some of the risks of </w:t>
      </w:r>
      <w:r w:rsidR="00284F0C">
        <w:t>smaller de-centralised prisons</w:t>
      </w:r>
      <w:r w:rsidRPr="008A37EC">
        <w:t>, a discussion around the definition of custody and finally, the conclusions that can be drawn from this evidence review.</w:t>
      </w:r>
    </w:p>
    <w:p w14:paraId="38B7C3E1" w14:textId="77777777" w:rsidR="008A37EC" w:rsidRPr="008A37EC" w:rsidRDefault="00162262" w:rsidP="0010717A">
      <w:pPr>
        <w:pStyle w:val="Heading1blue"/>
        <w:numPr>
          <w:ilvl w:val="0"/>
          <w:numId w:val="33"/>
        </w:numPr>
        <w:rPr>
          <w:rFonts w:eastAsiaTheme="majorEastAsia"/>
        </w:rPr>
      </w:pPr>
      <w:r>
        <w:br w:type="page"/>
      </w:r>
      <w:bookmarkStart w:id="5" w:name="_Toc429555798"/>
      <w:r w:rsidR="00B6565F">
        <w:rPr>
          <w:rFonts w:eastAsiaTheme="majorEastAsia"/>
        </w:rPr>
        <w:lastRenderedPageBreak/>
        <w:t>Background and Context</w:t>
      </w:r>
      <w:bookmarkEnd w:id="5"/>
    </w:p>
    <w:p w14:paraId="7CE27144" w14:textId="77777777" w:rsidR="008A37EC" w:rsidRDefault="008A37EC" w:rsidP="00402D02">
      <w:pPr>
        <w:pStyle w:val="SGBodytext"/>
      </w:pPr>
    </w:p>
    <w:p w14:paraId="16203870" w14:textId="77777777" w:rsidR="00587B82" w:rsidRPr="008A37EC" w:rsidRDefault="00587B82" w:rsidP="00587B82">
      <w:pPr>
        <w:pStyle w:val="Heading2blue"/>
        <w:rPr>
          <w:rFonts w:eastAsiaTheme="majorEastAsia"/>
        </w:rPr>
      </w:pPr>
      <w:bookmarkStart w:id="6" w:name="_Toc429555799"/>
      <w:r w:rsidRPr="008A37EC">
        <w:rPr>
          <w:rFonts w:eastAsiaTheme="majorEastAsia"/>
        </w:rPr>
        <w:t>An international perspective</w:t>
      </w:r>
      <w:bookmarkEnd w:id="6"/>
    </w:p>
    <w:p w14:paraId="6D21E88B" w14:textId="77777777" w:rsidR="00587B82" w:rsidRPr="008A37EC" w:rsidRDefault="00587B82" w:rsidP="00402D02">
      <w:pPr>
        <w:pStyle w:val="SGBodytext"/>
      </w:pPr>
      <w:r w:rsidRPr="008A37EC">
        <w:t xml:space="preserve">The ICPS (International Centre for Prison Studies) </w:t>
      </w:r>
      <w:r>
        <w:t xml:space="preserve">in its most recent international prison population list </w:t>
      </w:r>
      <w:r w:rsidRPr="008A37EC">
        <w:t>reports rising female prison populations (over the period of 2000-2011</w:t>
      </w:r>
      <w:r w:rsidRPr="008A37EC">
        <w:rPr>
          <w:vertAlign w:val="superscript"/>
        </w:rPr>
        <w:footnoteReference w:id="1"/>
      </w:r>
      <w:r w:rsidRPr="008A37EC">
        <w:t>) across all five continents of the world</w:t>
      </w:r>
      <w:r>
        <w:t>,</w:t>
      </w:r>
      <w:r w:rsidRPr="008A37EC">
        <w:t xml:space="preserve"> with the largest increase being in the Americas (</w:t>
      </w:r>
      <w:r>
        <w:t>where the female prison population has risen by</w:t>
      </w:r>
      <w:r w:rsidRPr="008A37EC">
        <w:t xml:space="preserve"> 23%</w:t>
      </w:r>
      <w:r>
        <w:t xml:space="preserve"> since the last population list published in 2006</w:t>
      </w:r>
      <w:r w:rsidRPr="008A37EC">
        <w:t>) and the smallest increase in European countries (6%).  Internationally, female prisoners constitute between 2</w:t>
      </w:r>
      <w:r>
        <w:t>%</w:t>
      </w:r>
      <w:r w:rsidRPr="008A37EC">
        <w:t xml:space="preserve"> and 9% of the </w:t>
      </w:r>
      <w:r>
        <w:t xml:space="preserve">total </w:t>
      </w:r>
      <w:r w:rsidRPr="008A37EC">
        <w:t>prison population.  The median level in Europe is 4.9%</w:t>
      </w:r>
      <w:r w:rsidRPr="008A37EC">
        <w:rPr>
          <w:vertAlign w:val="superscript"/>
        </w:rPr>
        <w:endnoteReference w:id="9"/>
      </w:r>
      <w:r w:rsidRPr="008A37EC">
        <w:t>.</w:t>
      </w:r>
    </w:p>
    <w:p w14:paraId="3D502751" w14:textId="3EE73C74" w:rsidR="0008408A" w:rsidRPr="0008408A" w:rsidRDefault="0008408A" w:rsidP="0008408A">
      <w:pPr>
        <w:rPr>
          <w:rFonts w:eastAsia="Times New Roman"/>
          <w:sz w:val="24"/>
          <w:szCs w:val="24"/>
        </w:rPr>
      </w:pPr>
      <w:r w:rsidRPr="0008408A">
        <w:rPr>
          <w:rFonts w:eastAsia="Times New Roman"/>
          <w:sz w:val="24"/>
        </w:rPr>
        <w:t xml:space="preserve">More recent international prison statistics from the same organisation (World Prison Brief data) reveal that, </w:t>
      </w:r>
      <w:r w:rsidRPr="0008408A">
        <w:rPr>
          <w:rFonts w:eastAsia="Times New Roman"/>
          <w:b/>
          <w:sz w:val="24"/>
        </w:rPr>
        <w:t>alongside England and Wales, Scotland has one of the highest female prison populations in Northern Europe</w:t>
      </w:r>
      <w:r w:rsidRPr="0008408A">
        <w:rPr>
          <w:rFonts w:eastAsia="Times New Roman"/>
          <w:sz w:val="24"/>
        </w:rPr>
        <w:t xml:space="preserve">.  The female prison population rate (per 100,000 of the national population) is estimated to be </w:t>
      </w:r>
      <w:r>
        <w:rPr>
          <w:rFonts w:eastAsia="Times New Roman"/>
          <w:sz w:val="24"/>
        </w:rPr>
        <w:t xml:space="preserve">approximately </w:t>
      </w:r>
      <w:r w:rsidRPr="0008408A">
        <w:rPr>
          <w:rFonts w:eastAsia="Times New Roman"/>
          <w:sz w:val="24"/>
        </w:rPr>
        <w:t xml:space="preserve">7.1 in Scotland.  A similar rate is reported for England and Wales (6.8).  However, rates in other Northern European countries are considerably lower.  All the Scandinavian countries have female imprisonment rates of </w:t>
      </w:r>
      <w:proofErr w:type="gramStart"/>
      <w:r w:rsidRPr="0008408A">
        <w:rPr>
          <w:rFonts w:eastAsia="Times New Roman"/>
          <w:sz w:val="24"/>
        </w:rPr>
        <w:t>under</w:t>
      </w:r>
      <w:proofErr w:type="gramEnd"/>
      <w:r w:rsidRPr="0008408A">
        <w:rPr>
          <w:rFonts w:eastAsia="Times New Roman"/>
          <w:sz w:val="24"/>
        </w:rPr>
        <w:t xml:space="preserve"> 4.5, with Denmark reported to have the lowest rate (2.5) (of the selected countries </w:t>
      </w:r>
      <w:r w:rsidRPr="0008408A">
        <w:rPr>
          <w:rFonts w:eastAsia="Times New Roman"/>
          <w:sz w:val="24"/>
          <w:szCs w:val="24"/>
        </w:rPr>
        <w:t>in</w:t>
      </w:r>
      <w:r w:rsidR="003E7676">
        <w:rPr>
          <w:rFonts w:eastAsia="Times New Roman"/>
          <w:b/>
          <w:sz w:val="24"/>
          <w:szCs w:val="24"/>
        </w:rPr>
        <w:t xml:space="preserve"> Table 1</w:t>
      </w:r>
      <w:r w:rsidRPr="0008408A">
        <w:rPr>
          <w:rFonts w:eastAsia="Times New Roman"/>
          <w:sz w:val="24"/>
          <w:szCs w:val="24"/>
        </w:rPr>
        <w:t xml:space="preserve">).  With the exception of Denmark and the Netherlands, </w:t>
      </w:r>
      <w:r>
        <w:rPr>
          <w:rFonts w:eastAsia="Times New Roman"/>
          <w:sz w:val="24"/>
          <w:szCs w:val="24"/>
        </w:rPr>
        <w:t xml:space="preserve">the rate of </w:t>
      </w:r>
      <w:r w:rsidRPr="0008408A">
        <w:rPr>
          <w:rFonts w:eastAsia="Times New Roman"/>
          <w:sz w:val="24"/>
          <w:szCs w:val="24"/>
        </w:rPr>
        <w:t>female imprisonment has increased in all listed countries over the past 15 years.  Other countries covered in this report are included in</w:t>
      </w:r>
      <w:r w:rsidR="00855439">
        <w:rPr>
          <w:rFonts w:eastAsia="Times New Roman"/>
          <w:sz w:val="24"/>
          <w:szCs w:val="24"/>
        </w:rPr>
        <w:t xml:space="preserve"> </w:t>
      </w:r>
      <w:r w:rsidR="003E7676">
        <w:rPr>
          <w:rFonts w:eastAsia="Times New Roman"/>
          <w:b/>
          <w:sz w:val="24"/>
          <w:szCs w:val="24"/>
        </w:rPr>
        <w:t xml:space="preserve">Table 1 </w:t>
      </w:r>
      <w:r w:rsidRPr="0008408A">
        <w:rPr>
          <w:rFonts w:eastAsia="Times New Roman"/>
          <w:sz w:val="24"/>
          <w:szCs w:val="24"/>
        </w:rPr>
        <w:t>for reference.</w:t>
      </w:r>
    </w:p>
    <w:p w14:paraId="47011323" w14:textId="77777777" w:rsidR="0008408A" w:rsidRDefault="0008408A" w:rsidP="0008408A">
      <w:pPr>
        <w:rPr>
          <w:rFonts w:eastAsia="Times New Roman"/>
          <w:sz w:val="24"/>
        </w:rPr>
      </w:pPr>
    </w:p>
    <w:p w14:paraId="0F47EED9" w14:textId="77777777" w:rsidR="00C62118" w:rsidRPr="0008408A" w:rsidRDefault="00C62118" w:rsidP="0008408A">
      <w:pPr>
        <w:rPr>
          <w:rFonts w:eastAsia="Times New Roman"/>
          <w:sz w:val="24"/>
        </w:rPr>
      </w:pPr>
      <w:bookmarkStart w:id="7" w:name="tab"/>
      <w:bookmarkEnd w:id="7"/>
    </w:p>
    <w:tbl>
      <w:tblPr>
        <w:tblStyle w:val="TableGrid1"/>
        <w:tblW w:w="9322" w:type="dxa"/>
        <w:tblLook w:val="04A0" w:firstRow="1" w:lastRow="0" w:firstColumn="1" w:lastColumn="0" w:noHBand="0" w:noVBand="1"/>
      </w:tblPr>
      <w:tblGrid>
        <w:gridCol w:w="1678"/>
        <w:gridCol w:w="982"/>
        <w:gridCol w:w="1417"/>
        <w:gridCol w:w="1701"/>
        <w:gridCol w:w="1843"/>
        <w:gridCol w:w="1701"/>
      </w:tblGrid>
      <w:tr w:rsidR="0008408A" w:rsidRPr="0008408A" w14:paraId="11545DB6" w14:textId="77777777" w:rsidTr="0008408A">
        <w:tc>
          <w:tcPr>
            <w:tcW w:w="1678" w:type="dxa"/>
            <w:tcBorders>
              <w:bottom w:val="single" w:sz="4" w:space="0" w:color="auto"/>
            </w:tcBorders>
          </w:tcPr>
          <w:p w14:paraId="55A2B919" w14:textId="77777777" w:rsidR="0008408A" w:rsidRPr="0008408A" w:rsidRDefault="0008408A" w:rsidP="0008408A">
            <w:pPr>
              <w:rPr>
                <w:rFonts w:cs="Arial"/>
                <w:b/>
                <w:sz w:val="22"/>
                <w:szCs w:val="22"/>
              </w:rPr>
            </w:pPr>
            <w:r w:rsidRPr="0008408A">
              <w:rPr>
                <w:rFonts w:cs="Arial"/>
                <w:b/>
                <w:sz w:val="22"/>
                <w:szCs w:val="22"/>
              </w:rPr>
              <w:t>Country</w:t>
            </w:r>
          </w:p>
        </w:tc>
        <w:tc>
          <w:tcPr>
            <w:tcW w:w="982" w:type="dxa"/>
            <w:tcBorders>
              <w:bottom w:val="single" w:sz="4" w:space="0" w:color="auto"/>
            </w:tcBorders>
          </w:tcPr>
          <w:p w14:paraId="5EA3CBBF" w14:textId="77777777" w:rsidR="0008408A" w:rsidRPr="0008408A" w:rsidRDefault="0008408A" w:rsidP="0008408A">
            <w:pPr>
              <w:rPr>
                <w:rFonts w:cs="Arial"/>
                <w:b/>
                <w:sz w:val="22"/>
                <w:szCs w:val="22"/>
              </w:rPr>
            </w:pPr>
            <w:r w:rsidRPr="0008408A">
              <w:rPr>
                <w:rFonts w:cs="Arial"/>
                <w:b/>
                <w:sz w:val="22"/>
                <w:szCs w:val="22"/>
              </w:rPr>
              <w:t>Year</w:t>
            </w:r>
          </w:p>
        </w:tc>
        <w:tc>
          <w:tcPr>
            <w:tcW w:w="1417" w:type="dxa"/>
            <w:tcBorders>
              <w:bottom w:val="single" w:sz="4" w:space="0" w:color="auto"/>
            </w:tcBorders>
          </w:tcPr>
          <w:p w14:paraId="4CCC4C28" w14:textId="77777777" w:rsidR="0008408A" w:rsidRPr="0008408A" w:rsidRDefault="0008408A" w:rsidP="0008408A">
            <w:pPr>
              <w:tabs>
                <w:tab w:val="clear" w:pos="720"/>
                <w:tab w:val="clear" w:pos="1440"/>
                <w:tab w:val="clear" w:pos="2160"/>
                <w:tab w:val="clear" w:pos="2880"/>
                <w:tab w:val="clear" w:pos="4680"/>
                <w:tab w:val="clear" w:pos="5400"/>
                <w:tab w:val="clear" w:pos="9000"/>
              </w:tabs>
              <w:spacing w:line="240" w:lineRule="auto"/>
              <w:textAlignment w:val="baseline"/>
              <w:rPr>
                <w:rFonts w:cs="Arial"/>
                <w:b/>
                <w:sz w:val="22"/>
                <w:szCs w:val="22"/>
              </w:rPr>
            </w:pPr>
            <w:r w:rsidRPr="0008408A">
              <w:rPr>
                <w:rFonts w:cs="Arial"/>
                <w:b/>
                <w:sz w:val="22"/>
                <w:szCs w:val="22"/>
              </w:rPr>
              <w:t>Number of</w:t>
            </w:r>
            <w:r w:rsidRPr="0008408A">
              <w:rPr>
                <w:rFonts w:cs="Arial"/>
                <w:b/>
                <w:sz w:val="22"/>
                <w:szCs w:val="22"/>
              </w:rPr>
              <w:br/>
              <w:t>female</w:t>
            </w:r>
            <w:r w:rsidRPr="0008408A">
              <w:rPr>
                <w:rFonts w:cs="Arial"/>
                <w:b/>
                <w:sz w:val="22"/>
                <w:szCs w:val="22"/>
              </w:rPr>
              <w:br/>
              <w:t>prisoners</w:t>
            </w:r>
          </w:p>
          <w:p w14:paraId="54927857" w14:textId="77777777" w:rsidR="0008408A" w:rsidRPr="0008408A" w:rsidRDefault="0008408A" w:rsidP="0008408A">
            <w:pPr>
              <w:rPr>
                <w:rFonts w:cs="Arial"/>
                <w:b/>
                <w:sz w:val="22"/>
                <w:szCs w:val="22"/>
              </w:rPr>
            </w:pPr>
          </w:p>
        </w:tc>
        <w:tc>
          <w:tcPr>
            <w:tcW w:w="1701" w:type="dxa"/>
            <w:tcBorders>
              <w:bottom w:val="single" w:sz="4" w:space="0" w:color="auto"/>
            </w:tcBorders>
          </w:tcPr>
          <w:p w14:paraId="121F8B55" w14:textId="77777777" w:rsidR="0008408A" w:rsidRPr="0008408A" w:rsidRDefault="0008408A" w:rsidP="0008408A">
            <w:pPr>
              <w:tabs>
                <w:tab w:val="clear" w:pos="720"/>
                <w:tab w:val="clear" w:pos="1440"/>
                <w:tab w:val="clear" w:pos="2160"/>
                <w:tab w:val="clear" w:pos="2880"/>
                <w:tab w:val="clear" w:pos="4680"/>
                <w:tab w:val="clear" w:pos="5400"/>
                <w:tab w:val="clear" w:pos="9000"/>
              </w:tabs>
              <w:spacing w:line="240" w:lineRule="auto"/>
              <w:textAlignment w:val="baseline"/>
              <w:rPr>
                <w:rFonts w:cs="Arial"/>
                <w:b/>
                <w:sz w:val="22"/>
                <w:szCs w:val="22"/>
              </w:rPr>
            </w:pPr>
            <w:r w:rsidRPr="0008408A">
              <w:rPr>
                <w:rFonts w:cs="Arial"/>
                <w:b/>
                <w:sz w:val="22"/>
                <w:szCs w:val="22"/>
              </w:rPr>
              <w:t>Percentage</w:t>
            </w:r>
            <w:r w:rsidRPr="0008408A">
              <w:rPr>
                <w:rFonts w:cs="Arial"/>
                <w:b/>
                <w:sz w:val="22"/>
                <w:szCs w:val="22"/>
              </w:rPr>
              <w:br/>
              <w:t>of total</w:t>
            </w:r>
            <w:r w:rsidRPr="0008408A">
              <w:rPr>
                <w:rFonts w:cs="Arial"/>
                <w:b/>
                <w:sz w:val="22"/>
                <w:szCs w:val="22"/>
              </w:rPr>
              <w:br/>
              <w:t>prison population</w:t>
            </w:r>
          </w:p>
          <w:p w14:paraId="5F30FAAB" w14:textId="77777777" w:rsidR="0008408A" w:rsidRPr="0008408A" w:rsidRDefault="0008408A" w:rsidP="0008408A">
            <w:pPr>
              <w:rPr>
                <w:rFonts w:cs="Arial"/>
                <w:b/>
                <w:sz w:val="22"/>
                <w:szCs w:val="22"/>
              </w:rPr>
            </w:pPr>
          </w:p>
        </w:tc>
        <w:tc>
          <w:tcPr>
            <w:tcW w:w="1843" w:type="dxa"/>
            <w:tcBorders>
              <w:bottom w:val="single" w:sz="4" w:space="0" w:color="auto"/>
            </w:tcBorders>
          </w:tcPr>
          <w:p w14:paraId="750D5433" w14:textId="77777777" w:rsidR="0008408A" w:rsidRPr="0008408A" w:rsidRDefault="0008408A" w:rsidP="0008408A">
            <w:pPr>
              <w:tabs>
                <w:tab w:val="clear" w:pos="720"/>
                <w:tab w:val="clear" w:pos="1440"/>
                <w:tab w:val="clear" w:pos="2160"/>
                <w:tab w:val="clear" w:pos="2880"/>
                <w:tab w:val="clear" w:pos="4680"/>
                <w:tab w:val="clear" w:pos="5400"/>
                <w:tab w:val="clear" w:pos="9000"/>
              </w:tabs>
              <w:spacing w:line="240" w:lineRule="auto"/>
              <w:textAlignment w:val="baseline"/>
              <w:rPr>
                <w:rFonts w:ascii="Times New Roman" w:hAnsi="Times New Roman" w:cs="Arial"/>
                <w:b/>
                <w:sz w:val="22"/>
                <w:szCs w:val="22"/>
              </w:rPr>
            </w:pPr>
            <w:r w:rsidRPr="0008408A">
              <w:rPr>
                <w:rFonts w:cs="Arial"/>
                <w:b/>
                <w:sz w:val="22"/>
                <w:szCs w:val="22"/>
              </w:rPr>
              <w:t>Female prison</w:t>
            </w:r>
            <w:r w:rsidRPr="0008408A">
              <w:rPr>
                <w:rFonts w:cs="Arial"/>
                <w:b/>
                <w:sz w:val="22"/>
                <w:szCs w:val="22"/>
              </w:rPr>
              <w:br/>
              <w:t>population rate</w:t>
            </w:r>
            <w:r w:rsidRPr="0008408A">
              <w:rPr>
                <w:rFonts w:cs="Arial"/>
                <w:b/>
                <w:sz w:val="22"/>
                <w:szCs w:val="22"/>
              </w:rPr>
              <w:br/>
              <w:t>(per 100,000 of</w:t>
            </w:r>
            <w:r w:rsidRPr="0008408A">
              <w:rPr>
                <w:rFonts w:cs="Arial"/>
                <w:b/>
                <w:sz w:val="22"/>
                <w:szCs w:val="22"/>
              </w:rPr>
              <w:br/>
              <w:t>national population)</w:t>
            </w:r>
          </w:p>
        </w:tc>
        <w:tc>
          <w:tcPr>
            <w:tcW w:w="1701" w:type="dxa"/>
            <w:tcBorders>
              <w:bottom w:val="single" w:sz="4" w:space="0" w:color="auto"/>
            </w:tcBorders>
          </w:tcPr>
          <w:p w14:paraId="1B641FD1" w14:textId="77777777" w:rsidR="0008408A" w:rsidRPr="0008408A" w:rsidRDefault="0008408A" w:rsidP="0008408A">
            <w:pPr>
              <w:rPr>
                <w:rFonts w:cs="Arial"/>
                <w:b/>
                <w:sz w:val="22"/>
                <w:szCs w:val="22"/>
              </w:rPr>
            </w:pPr>
            <w:r w:rsidRPr="0008408A">
              <w:rPr>
                <w:rFonts w:cs="Arial"/>
                <w:b/>
                <w:sz w:val="22"/>
                <w:szCs w:val="22"/>
              </w:rPr>
              <w:t xml:space="preserve">Trend </w:t>
            </w:r>
          </w:p>
          <w:p w14:paraId="6B254EFE" w14:textId="77777777" w:rsidR="0008408A" w:rsidRPr="0008408A" w:rsidRDefault="0008408A" w:rsidP="0008408A">
            <w:pPr>
              <w:rPr>
                <w:rFonts w:cs="Arial"/>
                <w:b/>
                <w:sz w:val="22"/>
                <w:szCs w:val="22"/>
              </w:rPr>
            </w:pPr>
            <w:r w:rsidRPr="0008408A">
              <w:rPr>
                <w:rFonts w:cs="Arial"/>
                <w:b/>
                <w:sz w:val="22"/>
                <w:szCs w:val="22"/>
              </w:rPr>
              <w:t>(Female prison population rate in 2000)</w:t>
            </w:r>
          </w:p>
        </w:tc>
      </w:tr>
      <w:tr w:rsidR="0008408A" w:rsidRPr="0008408A" w14:paraId="75770076" w14:textId="77777777" w:rsidTr="0008408A">
        <w:tc>
          <w:tcPr>
            <w:tcW w:w="1678" w:type="dxa"/>
            <w:tcBorders>
              <w:bottom w:val="single" w:sz="4" w:space="0" w:color="auto"/>
            </w:tcBorders>
          </w:tcPr>
          <w:p w14:paraId="6C9BD745" w14:textId="77777777" w:rsidR="0008408A" w:rsidRPr="0008408A" w:rsidRDefault="0008408A" w:rsidP="0008408A">
            <w:pPr>
              <w:rPr>
                <w:rFonts w:cs="Arial"/>
                <w:sz w:val="22"/>
                <w:szCs w:val="22"/>
              </w:rPr>
            </w:pPr>
            <w:r w:rsidRPr="0008408A">
              <w:rPr>
                <w:rFonts w:cs="Arial"/>
                <w:sz w:val="22"/>
                <w:szCs w:val="22"/>
              </w:rPr>
              <w:t>United States</w:t>
            </w:r>
          </w:p>
        </w:tc>
        <w:tc>
          <w:tcPr>
            <w:tcW w:w="982" w:type="dxa"/>
            <w:tcBorders>
              <w:bottom w:val="single" w:sz="4" w:space="0" w:color="auto"/>
            </w:tcBorders>
          </w:tcPr>
          <w:p w14:paraId="319E6F33" w14:textId="77777777" w:rsidR="0008408A" w:rsidRPr="0008408A" w:rsidRDefault="0008408A" w:rsidP="0008408A">
            <w:pPr>
              <w:rPr>
                <w:rFonts w:cs="Arial"/>
                <w:sz w:val="22"/>
                <w:szCs w:val="22"/>
              </w:rPr>
            </w:pPr>
            <w:r w:rsidRPr="0008408A">
              <w:rPr>
                <w:rFonts w:cs="Arial"/>
                <w:sz w:val="22"/>
                <w:szCs w:val="22"/>
              </w:rPr>
              <w:t>2013</w:t>
            </w:r>
          </w:p>
        </w:tc>
        <w:tc>
          <w:tcPr>
            <w:tcW w:w="1417" w:type="dxa"/>
            <w:tcBorders>
              <w:bottom w:val="single" w:sz="4" w:space="0" w:color="auto"/>
            </w:tcBorders>
          </w:tcPr>
          <w:p w14:paraId="261CB831" w14:textId="77777777" w:rsidR="0008408A" w:rsidRPr="0008408A" w:rsidRDefault="0008408A" w:rsidP="0008408A">
            <w:pPr>
              <w:tabs>
                <w:tab w:val="clear" w:pos="720"/>
                <w:tab w:val="clear" w:pos="1440"/>
                <w:tab w:val="clear" w:pos="2160"/>
                <w:tab w:val="clear" w:pos="2880"/>
                <w:tab w:val="clear" w:pos="4680"/>
                <w:tab w:val="clear" w:pos="5400"/>
                <w:tab w:val="clear" w:pos="9000"/>
              </w:tabs>
              <w:spacing w:line="240" w:lineRule="auto"/>
              <w:textAlignment w:val="baseline"/>
              <w:rPr>
                <w:rFonts w:cs="Arial"/>
                <w:sz w:val="22"/>
                <w:szCs w:val="22"/>
              </w:rPr>
            </w:pPr>
            <w:r w:rsidRPr="0008408A">
              <w:rPr>
                <w:rFonts w:cs="Arial"/>
                <w:sz w:val="22"/>
                <w:szCs w:val="22"/>
              </w:rPr>
              <w:t>205,400</w:t>
            </w:r>
          </w:p>
          <w:p w14:paraId="36D30046" w14:textId="77777777" w:rsidR="0008408A" w:rsidRPr="0008408A" w:rsidRDefault="0008408A" w:rsidP="0008408A">
            <w:pPr>
              <w:rPr>
                <w:rFonts w:cs="Arial"/>
                <w:sz w:val="22"/>
                <w:szCs w:val="22"/>
              </w:rPr>
            </w:pPr>
          </w:p>
        </w:tc>
        <w:tc>
          <w:tcPr>
            <w:tcW w:w="1701" w:type="dxa"/>
            <w:tcBorders>
              <w:bottom w:val="single" w:sz="4" w:space="0" w:color="auto"/>
            </w:tcBorders>
          </w:tcPr>
          <w:p w14:paraId="57BE5A6A" w14:textId="77777777" w:rsidR="0008408A" w:rsidRPr="0008408A" w:rsidRDefault="0008408A" w:rsidP="0008408A">
            <w:pPr>
              <w:rPr>
                <w:rFonts w:cs="Arial"/>
                <w:sz w:val="22"/>
                <w:szCs w:val="22"/>
              </w:rPr>
            </w:pPr>
            <w:r w:rsidRPr="0008408A">
              <w:rPr>
                <w:rFonts w:cs="Arial"/>
                <w:sz w:val="22"/>
                <w:szCs w:val="22"/>
              </w:rPr>
              <w:t>9.3%</w:t>
            </w:r>
          </w:p>
        </w:tc>
        <w:tc>
          <w:tcPr>
            <w:tcW w:w="1843" w:type="dxa"/>
            <w:tcBorders>
              <w:bottom w:val="single" w:sz="4" w:space="0" w:color="auto"/>
            </w:tcBorders>
          </w:tcPr>
          <w:p w14:paraId="3C9F7E4F" w14:textId="77777777" w:rsidR="0008408A" w:rsidRPr="0008408A" w:rsidRDefault="0008408A" w:rsidP="0008408A">
            <w:pPr>
              <w:rPr>
                <w:rFonts w:cs="Arial"/>
                <w:sz w:val="22"/>
                <w:szCs w:val="22"/>
              </w:rPr>
            </w:pPr>
            <w:r w:rsidRPr="0008408A">
              <w:rPr>
                <w:rFonts w:cs="Arial"/>
                <w:sz w:val="22"/>
                <w:szCs w:val="22"/>
              </w:rPr>
              <w:t>64.6</w:t>
            </w:r>
          </w:p>
        </w:tc>
        <w:tc>
          <w:tcPr>
            <w:tcW w:w="1701" w:type="dxa"/>
            <w:tcBorders>
              <w:bottom w:val="single" w:sz="4" w:space="0" w:color="auto"/>
            </w:tcBorders>
          </w:tcPr>
          <w:p w14:paraId="4DBD6275" w14:textId="77777777" w:rsidR="0008408A" w:rsidRPr="0008408A" w:rsidRDefault="0008408A" w:rsidP="0008408A">
            <w:pPr>
              <w:rPr>
                <w:rFonts w:cs="Arial"/>
                <w:sz w:val="22"/>
                <w:szCs w:val="22"/>
              </w:rPr>
            </w:pPr>
            <w:r w:rsidRPr="0008408A">
              <w:rPr>
                <w:rFonts w:cs="Arial"/>
                <w:sz w:val="22"/>
                <w:szCs w:val="22"/>
              </w:rPr>
              <w:t>55.6</w:t>
            </w:r>
          </w:p>
        </w:tc>
      </w:tr>
      <w:tr w:rsidR="0008408A" w:rsidRPr="0008408A" w14:paraId="14D219B6" w14:textId="77777777" w:rsidTr="0008408A">
        <w:tc>
          <w:tcPr>
            <w:tcW w:w="1678" w:type="dxa"/>
            <w:tcBorders>
              <w:bottom w:val="single" w:sz="4" w:space="0" w:color="auto"/>
            </w:tcBorders>
          </w:tcPr>
          <w:p w14:paraId="7159A686" w14:textId="77777777" w:rsidR="0008408A" w:rsidRPr="0008408A" w:rsidRDefault="0008408A" w:rsidP="0008408A">
            <w:pPr>
              <w:rPr>
                <w:rFonts w:cs="Arial"/>
                <w:sz w:val="22"/>
                <w:szCs w:val="22"/>
              </w:rPr>
            </w:pPr>
            <w:r w:rsidRPr="0008408A">
              <w:rPr>
                <w:rFonts w:cs="Arial"/>
                <w:sz w:val="22"/>
                <w:szCs w:val="22"/>
              </w:rPr>
              <w:t>Spain</w:t>
            </w:r>
          </w:p>
        </w:tc>
        <w:tc>
          <w:tcPr>
            <w:tcW w:w="982" w:type="dxa"/>
            <w:tcBorders>
              <w:bottom w:val="single" w:sz="4" w:space="0" w:color="auto"/>
            </w:tcBorders>
          </w:tcPr>
          <w:p w14:paraId="17566608" w14:textId="77777777" w:rsidR="0008408A" w:rsidRPr="0008408A" w:rsidRDefault="0008408A" w:rsidP="0008408A">
            <w:pPr>
              <w:rPr>
                <w:rFonts w:cs="Arial"/>
                <w:sz w:val="22"/>
                <w:szCs w:val="22"/>
              </w:rPr>
            </w:pPr>
            <w:r w:rsidRPr="0008408A">
              <w:rPr>
                <w:rFonts w:cs="Arial"/>
                <w:sz w:val="22"/>
                <w:szCs w:val="22"/>
              </w:rPr>
              <w:t>2015</w:t>
            </w:r>
          </w:p>
        </w:tc>
        <w:tc>
          <w:tcPr>
            <w:tcW w:w="1417" w:type="dxa"/>
            <w:tcBorders>
              <w:bottom w:val="single" w:sz="4" w:space="0" w:color="auto"/>
            </w:tcBorders>
          </w:tcPr>
          <w:p w14:paraId="6895046A" w14:textId="77777777" w:rsidR="0008408A" w:rsidRPr="0008408A" w:rsidRDefault="0008408A" w:rsidP="0008408A">
            <w:pPr>
              <w:tabs>
                <w:tab w:val="clear" w:pos="720"/>
                <w:tab w:val="clear" w:pos="1440"/>
                <w:tab w:val="clear" w:pos="2160"/>
                <w:tab w:val="clear" w:pos="2880"/>
                <w:tab w:val="clear" w:pos="4680"/>
                <w:tab w:val="clear" w:pos="5400"/>
                <w:tab w:val="clear" w:pos="9000"/>
              </w:tabs>
              <w:spacing w:line="240" w:lineRule="auto"/>
              <w:textAlignment w:val="baseline"/>
              <w:rPr>
                <w:rFonts w:cs="Arial"/>
                <w:sz w:val="22"/>
                <w:szCs w:val="22"/>
              </w:rPr>
            </w:pPr>
            <w:r w:rsidRPr="0008408A">
              <w:rPr>
                <w:rFonts w:cs="Arial"/>
                <w:sz w:val="22"/>
                <w:szCs w:val="22"/>
              </w:rPr>
              <w:t>4,982</w:t>
            </w:r>
          </w:p>
          <w:p w14:paraId="37D74999" w14:textId="77777777" w:rsidR="0008408A" w:rsidRPr="0008408A" w:rsidRDefault="0008408A" w:rsidP="0008408A">
            <w:pPr>
              <w:tabs>
                <w:tab w:val="clear" w:pos="720"/>
                <w:tab w:val="clear" w:pos="1440"/>
                <w:tab w:val="clear" w:pos="2160"/>
                <w:tab w:val="clear" w:pos="2880"/>
                <w:tab w:val="clear" w:pos="4680"/>
                <w:tab w:val="clear" w:pos="5400"/>
                <w:tab w:val="clear" w:pos="9000"/>
              </w:tabs>
              <w:spacing w:line="240" w:lineRule="auto"/>
              <w:textAlignment w:val="baseline"/>
              <w:rPr>
                <w:rFonts w:cs="Arial"/>
                <w:sz w:val="22"/>
                <w:szCs w:val="22"/>
              </w:rPr>
            </w:pPr>
          </w:p>
        </w:tc>
        <w:tc>
          <w:tcPr>
            <w:tcW w:w="1701" w:type="dxa"/>
            <w:tcBorders>
              <w:bottom w:val="single" w:sz="4" w:space="0" w:color="auto"/>
            </w:tcBorders>
          </w:tcPr>
          <w:p w14:paraId="592F4C6B" w14:textId="77777777" w:rsidR="0008408A" w:rsidRPr="0008408A" w:rsidRDefault="0008408A" w:rsidP="0008408A">
            <w:pPr>
              <w:rPr>
                <w:rFonts w:cs="Arial"/>
                <w:sz w:val="22"/>
                <w:szCs w:val="22"/>
              </w:rPr>
            </w:pPr>
            <w:r w:rsidRPr="0008408A">
              <w:rPr>
                <w:rFonts w:cs="Arial"/>
                <w:sz w:val="22"/>
                <w:szCs w:val="22"/>
              </w:rPr>
              <w:t>7.7%</w:t>
            </w:r>
          </w:p>
        </w:tc>
        <w:tc>
          <w:tcPr>
            <w:tcW w:w="1843" w:type="dxa"/>
            <w:tcBorders>
              <w:bottom w:val="single" w:sz="4" w:space="0" w:color="auto"/>
            </w:tcBorders>
          </w:tcPr>
          <w:p w14:paraId="06939CE9" w14:textId="77777777" w:rsidR="0008408A" w:rsidRPr="0008408A" w:rsidRDefault="0008408A" w:rsidP="0008408A">
            <w:pPr>
              <w:rPr>
                <w:rFonts w:cs="Arial"/>
                <w:sz w:val="22"/>
                <w:szCs w:val="22"/>
              </w:rPr>
            </w:pPr>
            <w:r w:rsidRPr="0008408A">
              <w:rPr>
                <w:rFonts w:cs="Arial"/>
                <w:sz w:val="22"/>
                <w:szCs w:val="22"/>
              </w:rPr>
              <w:t>10.7</w:t>
            </w:r>
          </w:p>
        </w:tc>
        <w:tc>
          <w:tcPr>
            <w:tcW w:w="1701" w:type="dxa"/>
            <w:tcBorders>
              <w:bottom w:val="single" w:sz="4" w:space="0" w:color="auto"/>
            </w:tcBorders>
          </w:tcPr>
          <w:p w14:paraId="67F749AB" w14:textId="77777777" w:rsidR="0008408A" w:rsidRPr="0008408A" w:rsidRDefault="0008408A" w:rsidP="0008408A">
            <w:pPr>
              <w:rPr>
                <w:rFonts w:cs="Arial"/>
                <w:sz w:val="22"/>
                <w:szCs w:val="22"/>
              </w:rPr>
            </w:pPr>
            <w:r w:rsidRPr="0008408A">
              <w:rPr>
                <w:rFonts w:cs="Arial"/>
                <w:sz w:val="22"/>
                <w:szCs w:val="22"/>
              </w:rPr>
              <w:t>9.1</w:t>
            </w:r>
          </w:p>
        </w:tc>
      </w:tr>
      <w:tr w:rsidR="0008408A" w:rsidRPr="0008408A" w14:paraId="6AB42722" w14:textId="77777777" w:rsidTr="0008408A">
        <w:tc>
          <w:tcPr>
            <w:tcW w:w="1678" w:type="dxa"/>
            <w:tcBorders>
              <w:bottom w:val="single" w:sz="4" w:space="0" w:color="auto"/>
            </w:tcBorders>
          </w:tcPr>
          <w:p w14:paraId="5B3126DE" w14:textId="77777777" w:rsidR="0008408A" w:rsidRPr="0008408A" w:rsidRDefault="0008408A" w:rsidP="0008408A">
            <w:pPr>
              <w:rPr>
                <w:rFonts w:cs="Arial"/>
                <w:sz w:val="22"/>
                <w:szCs w:val="22"/>
              </w:rPr>
            </w:pPr>
            <w:r w:rsidRPr="0008408A">
              <w:rPr>
                <w:rFonts w:cs="Arial"/>
                <w:sz w:val="22"/>
                <w:szCs w:val="22"/>
              </w:rPr>
              <w:t>Canada</w:t>
            </w:r>
          </w:p>
        </w:tc>
        <w:tc>
          <w:tcPr>
            <w:tcW w:w="982" w:type="dxa"/>
            <w:tcBorders>
              <w:bottom w:val="single" w:sz="4" w:space="0" w:color="auto"/>
            </w:tcBorders>
          </w:tcPr>
          <w:p w14:paraId="07AD04FE" w14:textId="77777777" w:rsidR="0008408A" w:rsidRPr="0008408A" w:rsidRDefault="0008408A" w:rsidP="0008408A">
            <w:pPr>
              <w:rPr>
                <w:rFonts w:cs="Arial"/>
                <w:sz w:val="22"/>
                <w:szCs w:val="22"/>
              </w:rPr>
            </w:pPr>
            <w:r w:rsidRPr="0008408A">
              <w:rPr>
                <w:rFonts w:cs="Arial"/>
                <w:sz w:val="22"/>
                <w:szCs w:val="22"/>
              </w:rPr>
              <w:t>2012</w:t>
            </w:r>
          </w:p>
        </w:tc>
        <w:tc>
          <w:tcPr>
            <w:tcW w:w="1417" w:type="dxa"/>
            <w:tcBorders>
              <w:bottom w:val="single" w:sz="4" w:space="0" w:color="auto"/>
            </w:tcBorders>
          </w:tcPr>
          <w:p w14:paraId="13A53ECC" w14:textId="77777777" w:rsidR="0008408A" w:rsidRPr="0008408A" w:rsidRDefault="0008408A" w:rsidP="0008408A">
            <w:pPr>
              <w:rPr>
                <w:rFonts w:cs="Arial"/>
                <w:sz w:val="22"/>
                <w:szCs w:val="22"/>
              </w:rPr>
            </w:pPr>
            <w:r w:rsidRPr="0008408A">
              <w:rPr>
                <w:rFonts w:cs="Arial"/>
                <w:sz w:val="22"/>
                <w:szCs w:val="22"/>
              </w:rPr>
              <w:t>NK</w:t>
            </w:r>
          </w:p>
        </w:tc>
        <w:tc>
          <w:tcPr>
            <w:tcW w:w="1701" w:type="dxa"/>
            <w:tcBorders>
              <w:bottom w:val="single" w:sz="4" w:space="0" w:color="auto"/>
            </w:tcBorders>
          </w:tcPr>
          <w:p w14:paraId="4566C644" w14:textId="77777777" w:rsidR="0008408A" w:rsidRPr="0008408A" w:rsidRDefault="0008408A" w:rsidP="0008408A">
            <w:pPr>
              <w:rPr>
                <w:rFonts w:cs="Arial"/>
                <w:sz w:val="22"/>
                <w:szCs w:val="22"/>
              </w:rPr>
            </w:pPr>
            <w:r w:rsidRPr="0008408A">
              <w:rPr>
                <w:rFonts w:cs="Arial"/>
                <w:sz w:val="22"/>
                <w:szCs w:val="22"/>
              </w:rPr>
              <w:t>NK</w:t>
            </w:r>
          </w:p>
        </w:tc>
        <w:tc>
          <w:tcPr>
            <w:tcW w:w="1843" w:type="dxa"/>
            <w:tcBorders>
              <w:bottom w:val="single" w:sz="4" w:space="0" w:color="auto"/>
            </w:tcBorders>
          </w:tcPr>
          <w:p w14:paraId="12D0F459" w14:textId="77777777" w:rsidR="0008408A" w:rsidRPr="0008408A" w:rsidRDefault="0008408A" w:rsidP="0008408A">
            <w:pPr>
              <w:rPr>
                <w:rFonts w:cs="Arial"/>
                <w:sz w:val="22"/>
                <w:szCs w:val="22"/>
              </w:rPr>
            </w:pPr>
            <w:r w:rsidRPr="0008408A">
              <w:rPr>
                <w:rFonts w:cs="Arial"/>
                <w:sz w:val="22"/>
                <w:szCs w:val="22"/>
              </w:rPr>
              <w:t>10.6</w:t>
            </w:r>
          </w:p>
        </w:tc>
        <w:tc>
          <w:tcPr>
            <w:tcW w:w="1701" w:type="dxa"/>
            <w:tcBorders>
              <w:bottom w:val="single" w:sz="4" w:space="0" w:color="auto"/>
            </w:tcBorders>
          </w:tcPr>
          <w:p w14:paraId="753AC568" w14:textId="77777777" w:rsidR="0008408A" w:rsidRPr="0008408A" w:rsidRDefault="0008408A" w:rsidP="0008408A">
            <w:pPr>
              <w:rPr>
                <w:rFonts w:cs="Arial"/>
                <w:sz w:val="22"/>
                <w:szCs w:val="22"/>
              </w:rPr>
            </w:pPr>
            <w:r w:rsidRPr="0008408A">
              <w:rPr>
                <w:rFonts w:cs="Arial"/>
                <w:sz w:val="22"/>
                <w:szCs w:val="22"/>
              </w:rPr>
              <w:t>NK</w:t>
            </w:r>
          </w:p>
        </w:tc>
      </w:tr>
      <w:tr w:rsidR="0008408A" w:rsidRPr="0008408A" w14:paraId="213F8E49" w14:textId="77777777" w:rsidTr="0008408A">
        <w:tc>
          <w:tcPr>
            <w:tcW w:w="1678" w:type="dxa"/>
            <w:shd w:val="clear" w:color="auto" w:fill="DBE5F1" w:themeFill="accent1" w:themeFillTint="33"/>
          </w:tcPr>
          <w:p w14:paraId="1C4E230A" w14:textId="77777777" w:rsidR="0008408A" w:rsidRPr="0008408A" w:rsidRDefault="0008408A" w:rsidP="0008408A">
            <w:pPr>
              <w:rPr>
                <w:rFonts w:cs="Arial"/>
                <w:sz w:val="22"/>
                <w:szCs w:val="22"/>
              </w:rPr>
            </w:pPr>
            <w:r w:rsidRPr="0008408A">
              <w:rPr>
                <w:rFonts w:cs="Arial"/>
                <w:sz w:val="22"/>
                <w:szCs w:val="22"/>
              </w:rPr>
              <w:t>Scotland</w:t>
            </w:r>
          </w:p>
        </w:tc>
        <w:tc>
          <w:tcPr>
            <w:tcW w:w="982" w:type="dxa"/>
            <w:shd w:val="clear" w:color="auto" w:fill="DBE5F1" w:themeFill="accent1" w:themeFillTint="33"/>
          </w:tcPr>
          <w:p w14:paraId="7CA2E862" w14:textId="77777777" w:rsidR="0008408A" w:rsidRPr="0008408A" w:rsidRDefault="0008408A" w:rsidP="0008408A">
            <w:pPr>
              <w:rPr>
                <w:rFonts w:cs="Arial"/>
                <w:sz w:val="22"/>
                <w:szCs w:val="22"/>
              </w:rPr>
            </w:pPr>
            <w:r w:rsidRPr="0008408A">
              <w:rPr>
                <w:rFonts w:cs="Arial"/>
                <w:sz w:val="22"/>
                <w:szCs w:val="22"/>
              </w:rPr>
              <w:t>2015</w:t>
            </w:r>
          </w:p>
        </w:tc>
        <w:tc>
          <w:tcPr>
            <w:tcW w:w="1417" w:type="dxa"/>
            <w:shd w:val="clear" w:color="auto" w:fill="DBE5F1" w:themeFill="accent1" w:themeFillTint="33"/>
          </w:tcPr>
          <w:p w14:paraId="10B9E8D2" w14:textId="77777777" w:rsidR="0008408A" w:rsidRPr="0008408A" w:rsidRDefault="0008408A" w:rsidP="0008408A">
            <w:pPr>
              <w:rPr>
                <w:rFonts w:cs="Arial"/>
                <w:sz w:val="22"/>
                <w:szCs w:val="22"/>
              </w:rPr>
            </w:pPr>
            <w:r w:rsidRPr="0008408A">
              <w:rPr>
                <w:rFonts w:cs="Arial"/>
                <w:sz w:val="22"/>
                <w:szCs w:val="22"/>
              </w:rPr>
              <w:t>383</w:t>
            </w:r>
          </w:p>
        </w:tc>
        <w:tc>
          <w:tcPr>
            <w:tcW w:w="1701" w:type="dxa"/>
            <w:shd w:val="clear" w:color="auto" w:fill="DBE5F1" w:themeFill="accent1" w:themeFillTint="33"/>
          </w:tcPr>
          <w:p w14:paraId="47258573" w14:textId="77777777" w:rsidR="0008408A" w:rsidRPr="0008408A" w:rsidRDefault="0008408A" w:rsidP="0008408A">
            <w:pPr>
              <w:rPr>
                <w:rFonts w:cs="Arial"/>
                <w:sz w:val="22"/>
                <w:szCs w:val="22"/>
              </w:rPr>
            </w:pPr>
            <w:r w:rsidRPr="0008408A">
              <w:rPr>
                <w:rFonts w:cs="Arial"/>
                <w:sz w:val="22"/>
                <w:szCs w:val="22"/>
              </w:rPr>
              <w:t>5.2%</w:t>
            </w:r>
          </w:p>
        </w:tc>
        <w:tc>
          <w:tcPr>
            <w:tcW w:w="1843" w:type="dxa"/>
            <w:shd w:val="clear" w:color="auto" w:fill="DBE5F1" w:themeFill="accent1" w:themeFillTint="33"/>
          </w:tcPr>
          <w:p w14:paraId="057D595C" w14:textId="77777777" w:rsidR="0008408A" w:rsidRPr="0008408A" w:rsidRDefault="0008408A" w:rsidP="0008408A">
            <w:pPr>
              <w:rPr>
                <w:rFonts w:cs="Arial"/>
                <w:sz w:val="22"/>
                <w:szCs w:val="22"/>
              </w:rPr>
            </w:pPr>
            <w:r w:rsidRPr="0008408A">
              <w:rPr>
                <w:rFonts w:cs="Arial"/>
                <w:sz w:val="22"/>
                <w:szCs w:val="22"/>
              </w:rPr>
              <w:t>7.1</w:t>
            </w:r>
          </w:p>
        </w:tc>
        <w:tc>
          <w:tcPr>
            <w:tcW w:w="1701" w:type="dxa"/>
            <w:shd w:val="clear" w:color="auto" w:fill="DBE5F1" w:themeFill="accent1" w:themeFillTint="33"/>
          </w:tcPr>
          <w:p w14:paraId="34D9C3F6" w14:textId="77777777" w:rsidR="0008408A" w:rsidRPr="0008408A" w:rsidRDefault="0008408A" w:rsidP="0008408A">
            <w:pPr>
              <w:rPr>
                <w:rFonts w:cs="Arial"/>
                <w:sz w:val="22"/>
                <w:szCs w:val="22"/>
              </w:rPr>
            </w:pPr>
            <w:r w:rsidRPr="0008408A">
              <w:rPr>
                <w:rFonts w:cs="Arial"/>
                <w:sz w:val="22"/>
                <w:szCs w:val="22"/>
              </w:rPr>
              <w:t>4.0</w:t>
            </w:r>
            <w:r w:rsidRPr="0008408A">
              <w:rPr>
                <w:rFonts w:cs="Arial"/>
                <w:sz w:val="22"/>
                <w:szCs w:val="22"/>
                <w:vertAlign w:val="superscript"/>
              </w:rPr>
              <w:footnoteReference w:id="2"/>
            </w:r>
          </w:p>
        </w:tc>
      </w:tr>
      <w:tr w:rsidR="0008408A" w:rsidRPr="0008408A" w14:paraId="716AA8EC" w14:textId="77777777" w:rsidTr="0008408A">
        <w:tc>
          <w:tcPr>
            <w:tcW w:w="1678" w:type="dxa"/>
          </w:tcPr>
          <w:p w14:paraId="1E4238CC" w14:textId="77777777" w:rsidR="0008408A" w:rsidRPr="0008408A" w:rsidRDefault="0008408A" w:rsidP="0008408A">
            <w:pPr>
              <w:rPr>
                <w:rFonts w:cs="Arial"/>
                <w:sz w:val="22"/>
                <w:szCs w:val="22"/>
              </w:rPr>
            </w:pPr>
            <w:r w:rsidRPr="0008408A">
              <w:rPr>
                <w:rFonts w:cs="Arial"/>
                <w:sz w:val="22"/>
                <w:szCs w:val="22"/>
              </w:rPr>
              <w:t>England and Wales</w:t>
            </w:r>
          </w:p>
        </w:tc>
        <w:tc>
          <w:tcPr>
            <w:tcW w:w="982" w:type="dxa"/>
          </w:tcPr>
          <w:p w14:paraId="6D89BF60" w14:textId="77777777" w:rsidR="0008408A" w:rsidRPr="0008408A" w:rsidRDefault="0008408A" w:rsidP="0008408A">
            <w:pPr>
              <w:rPr>
                <w:rFonts w:cs="Arial"/>
                <w:sz w:val="22"/>
                <w:szCs w:val="22"/>
              </w:rPr>
            </w:pPr>
            <w:r w:rsidRPr="0008408A">
              <w:rPr>
                <w:rFonts w:cs="Arial"/>
                <w:sz w:val="22"/>
                <w:szCs w:val="22"/>
              </w:rPr>
              <w:t>2015</w:t>
            </w:r>
          </w:p>
        </w:tc>
        <w:tc>
          <w:tcPr>
            <w:tcW w:w="1417" w:type="dxa"/>
          </w:tcPr>
          <w:p w14:paraId="587FBAD6" w14:textId="77777777" w:rsidR="0008408A" w:rsidRPr="0008408A" w:rsidRDefault="0008408A" w:rsidP="0008408A">
            <w:pPr>
              <w:tabs>
                <w:tab w:val="clear" w:pos="720"/>
                <w:tab w:val="clear" w:pos="1440"/>
                <w:tab w:val="clear" w:pos="2160"/>
                <w:tab w:val="clear" w:pos="2880"/>
                <w:tab w:val="clear" w:pos="4680"/>
                <w:tab w:val="clear" w:pos="5400"/>
                <w:tab w:val="clear" w:pos="9000"/>
              </w:tabs>
              <w:spacing w:line="240" w:lineRule="auto"/>
              <w:textAlignment w:val="baseline"/>
              <w:rPr>
                <w:rFonts w:cs="Arial"/>
                <w:sz w:val="22"/>
                <w:szCs w:val="22"/>
              </w:rPr>
            </w:pPr>
            <w:r w:rsidRPr="0008408A">
              <w:rPr>
                <w:rFonts w:cs="Arial"/>
                <w:sz w:val="22"/>
                <w:szCs w:val="22"/>
              </w:rPr>
              <w:t>3,922</w:t>
            </w:r>
          </w:p>
          <w:p w14:paraId="372F926A" w14:textId="77777777" w:rsidR="0008408A" w:rsidRPr="0008408A" w:rsidRDefault="0008408A" w:rsidP="0008408A">
            <w:pPr>
              <w:rPr>
                <w:rFonts w:cs="Arial"/>
                <w:sz w:val="22"/>
                <w:szCs w:val="22"/>
              </w:rPr>
            </w:pPr>
          </w:p>
        </w:tc>
        <w:tc>
          <w:tcPr>
            <w:tcW w:w="1701" w:type="dxa"/>
          </w:tcPr>
          <w:p w14:paraId="3710AAD9" w14:textId="77777777" w:rsidR="0008408A" w:rsidRPr="0008408A" w:rsidRDefault="0008408A" w:rsidP="0008408A">
            <w:pPr>
              <w:rPr>
                <w:rFonts w:cs="Arial"/>
                <w:sz w:val="22"/>
                <w:szCs w:val="22"/>
              </w:rPr>
            </w:pPr>
            <w:r w:rsidRPr="0008408A">
              <w:rPr>
                <w:rFonts w:cs="Arial"/>
                <w:sz w:val="22"/>
                <w:szCs w:val="22"/>
              </w:rPr>
              <w:t>4.6%</w:t>
            </w:r>
          </w:p>
        </w:tc>
        <w:tc>
          <w:tcPr>
            <w:tcW w:w="1843" w:type="dxa"/>
          </w:tcPr>
          <w:p w14:paraId="15772578" w14:textId="77777777" w:rsidR="0008408A" w:rsidRPr="0008408A" w:rsidRDefault="0008408A" w:rsidP="0008408A">
            <w:pPr>
              <w:rPr>
                <w:rFonts w:cs="Arial"/>
                <w:sz w:val="22"/>
                <w:szCs w:val="22"/>
              </w:rPr>
            </w:pPr>
            <w:r w:rsidRPr="0008408A">
              <w:rPr>
                <w:rFonts w:cs="Arial"/>
                <w:sz w:val="22"/>
                <w:szCs w:val="22"/>
              </w:rPr>
              <w:t>6.8</w:t>
            </w:r>
          </w:p>
        </w:tc>
        <w:tc>
          <w:tcPr>
            <w:tcW w:w="1701" w:type="dxa"/>
          </w:tcPr>
          <w:p w14:paraId="16E52FE2" w14:textId="77777777" w:rsidR="0008408A" w:rsidRPr="0008408A" w:rsidRDefault="0008408A" w:rsidP="0008408A">
            <w:pPr>
              <w:rPr>
                <w:rFonts w:cs="Arial"/>
                <w:sz w:val="22"/>
                <w:szCs w:val="22"/>
              </w:rPr>
            </w:pPr>
            <w:r w:rsidRPr="0008408A">
              <w:rPr>
                <w:rFonts w:cs="Arial"/>
                <w:sz w:val="22"/>
                <w:szCs w:val="22"/>
              </w:rPr>
              <w:t>6.4</w:t>
            </w:r>
          </w:p>
        </w:tc>
      </w:tr>
      <w:tr w:rsidR="0008408A" w:rsidRPr="0008408A" w14:paraId="657935C6" w14:textId="77777777" w:rsidTr="0008408A">
        <w:tc>
          <w:tcPr>
            <w:tcW w:w="1678" w:type="dxa"/>
          </w:tcPr>
          <w:p w14:paraId="23DF4BF0" w14:textId="77777777" w:rsidR="0008408A" w:rsidRPr="0008408A" w:rsidRDefault="0008408A" w:rsidP="0008408A">
            <w:pPr>
              <w:rPr>
                <w:rFonts w:cs="Arial"/>
                <w:sz w:val="22"/>
                <w:szCs w:val="22"/>
              </w:rPr>
            </w:pPr>
            <w:r w:rsidRPr="0008408A">
              <w:rPr>
                <w:rFonts w:cs="Arial"/>
                <w:sz w:val="22"/>
                <w:szCs w:val="22"/>
              </w:rPr>
              <w:t>Germany</w:t>
            </w:r>
          </w:p>
        </w:tc>
        <w:tc>
          <w:tcPr>
            <w:tcW w:w="982" w:type="dxa"/>
          </w:tcPr>
          <w:p w14:paraId="487106BC" w14:textId="77777777" w:rsidR="0008408A" w:rsidRPr="0008408A" w:rsidRDefault="0008408A" w:rsidP="0008408A">
            <w:pPr>
              <w:rPr>
                <w:rFonts w:cs="Arial"/>
                <w:sz w:val="22"/>
                <w:szCs w:val="22"/>
              </w:rPr>
            </w:pPr>
            <w:r w:rsidRPr="0008408A">
              <w:rPr>
                <w:rFonts w:cs="Arial"/>
                <w:sz w:val="22"/>
                <w:szCs w:val="22"/>
              </w:rPr>
              <w:t>2015</w:t>
            </w:r>
          </w:p>
        </w:tc>
        <w:tc>
          <w:tcPr>
            <w:tcW w:w="1417" w:type="dxa"/>
          </w:tcPr>
          <w:p w14:paraId="331C3E41" w14:textId="77777777" w:rsidR="0008408A" w:rsidRPr="0008408A" w:rsidRDefault="0008408A" w:rsidP="0008408A">
            <w:pPr>
              <w:tabs>
                <w:tab w:val="clear" w:pos="720"/>
                <w:tab w:val="clear" w:pos="1440"/>
                <w:tab w:val="clear" w:pos="2160"/>
                <w:tab w:val="clear" w:pos="2880"/>
                <w:tab w:val="clear" w:pos="4680"/>
                <w:tab w:val="clear" w:pos="5400"/>
                <w:tab w:val="clear" w:pos="9000"/>
              </w:tabs>
              <w:spacing w:line="240" w:lineRule="auto"/>
              <w:textAlignment w:val="baseline"/>
              <w:rPr>
                <w:rFonts w:cs="Arial"/>
                <w:sz w:val="22"/>
                <w:szCs w:val="22"/>
              </w:rPr>
            </w:pPr>
            <w:r w:rsidRPr="0008408A">
              <w:rPr>
                <w:rFonts w:cs="Arial"/>
                <w:sz w:val="22"/>
                <w:szCs w:val="22"/>
              </w:rPr>
              <w:t>3,753</w:t>
            </w:r>
          </w:p>
          <w:p w14:paraId="5D8D02ED" w14:textId="77777777" w:rsidR="0008408A" w:rsidRPr="0008408A" w:rsidRDefault="0008408A" w:rsidP="0008408A">
            <w:pPr>
              <w:rPr>
                <w:rFonts w:cs="Arial"/>
                <w:sz w:val="22"/>
                <w:szCs w:val="22"/>
              </w:rPr>
            </w:pPr>
          </w:p>
        </w:tc>
        <w:tc>
          <w:tcPr>
            <w:tcW w:w="1701" w:type="dxa"/>
          </w:tcPr>
          <w:p w14:paraId="05B62A99" w14:textId="77777777" w:rsidR="0008408A" w:rsidRPr="0008408A" w:rsidRDefault="0008408A" w:rsidP="0008408A">
            <w:pPr>
              <w:rPr>
                <w:rFonts w:cs="Arial"/>
                <w:sz w:val="22"/>
                <w:szCs w:val="22"/>
              </w:rPr>
            </w:pPr>
            <w:r w:rsidRPr="0008408A">
              <w:rPr>
                <w:rFonts w:cs="Arial"/>
                <w:sz w:val="22"/>
                <w:szCs w:val="22"/>
              </w:rPr>
              <w:t>5.9%</w:t>
            </w:r>
          </w:p>
        </w:tc>
        <w:tc>
          <w:tcPr>
            <w:tcW w:w="1843" w:type="dxa"/>
          </w:tcPr>
          <w:p w14:paraId="388CE3A8" w14:textId="77777777" w:rsidR="0008408A" w:rsidRPr="0008408A" w:rsidRDefault="0008408A" w:rsidP="0008408A">
            <w:pPr>
              <w:rPr>
                <w:rFonts w:cs="Arial"/>
                <w:sz w:val="22"/>
                <w:szCs w:val="22"/>
              </w:rPr>
            </w:pPr>
            <w:r w:rsidRPr="0008408A">
              <w:rPr>
                <w:rFonts w:cs="Arial"/>
                <w:sz w:val="22"/>
                <w:szCs w:val="22"/>
              </w:rPr>
              <w:t>4.6</w:t>
            </w:r>
          </w:p>
        </w:tc>
        <w:tc>
          <w:tcPr>
            <w:tcW w:w="1701" w:type="dxa"/>
          </w:tcPr>
          <w:p w14:paraId="10068717" w14:textId="77777777" w:rsidR="0008408A" w:rsidRPr="0008408A" w:rsidRDefault="0008408A" w:rsidP="0008408A">
            <w:pPr>
              <w:rPr>
                <w:rFonts w:cs="Arial"/>
                <w:sz w:val="22"/>
                <w:szCs w:val="22"/>
              </w:rPr>
            </w:pPr>
            <w:r w:rsidRPr="0008408A">
              <w:rPr>
                <w:rFonts w:cs="Arial"/>
                <w:sz w:val="22"/>
                <w:szCs w:val="22"/>
              </w:rPr>
              <w:t>4.3</w:t>
            </w:r>
          </w:p>
        </w:tc>
      </w:tr>
      <w:tr w:rsidR="0008408A" w:rsidRPr="0008408A" w14:paraId="1A5B2433" w14:textId="77777777" w:rsidTr="0008408A">
        <w:tc>
          <w:tcPr>
            <w:tcW w:w="1678" w:type="dxa"/>
          </w:tcPr>
          <w:p w14:paraId="7610E483" w14:textId="77777777" w:rsidR="0008408A" w:rsidRPr="0008408A" w:rsidRDefault="0008408A" w:rsidP="0008408A">
            <w:pPr>
              <w:rPr>
                <w:rFonts w:cs="Arial"/>
                <w:sz w:val="22"/>
                <w:szCs w:val="22"/>
              </w:rPr>
            </w:pPr>
            <w:r w:rsidRPr="0008408A">
              <w:rPr>
                <w:rFonts w:cs="Arial"/>
                <w:sz w:val="22"/>
                <w:szCs w:val="22"/>
              </w:rPr>
              <w:t>Finland</w:t>
            </w:r>
          </w:p>
        </w:tc>
        <w:tc>
          <w:tcPr>
            <w:tcW w:w="982" w:type="dxa"/>
          </w:tcPr>
          <w:p w14:paraId="011B71E6" w14:textId="77777777" w:rsidR="0008408A" w:rsidRPr="0008408A" w:rsidRDefault="0008408A" w:rsidP="0008408A">
            <w:pPr>
              <w:rPr>
                <w:rFonts w:cs="Arial"/>
                <w:sz w:val="22"/>
                <w:szCs w:val="22"/>
              </w:rPr>
            </w:pPr>
            <w:r w:rsidRPr="0008408A">
              <w:rPr>
                <w:rFonts w:cs="Arial"/>
                <w:sz w:val="22"/>
                <w:szCs w:val="22"/>
              </w:rPr>
              <w:t>2015</w:t>
            </w:r>
          </w:p>
        </w:tc>
        <w:tc>
          <w:tcPr>
            <w:tcW w:w="1417" w:type="dxa"/>
          </w:tcPr>
          <w:p w14:paraId="14ED4539" w14:textId="77777777" w:rsidR="0008408A" w:rsidRPr="0008408A" w:rsidRDefault="0008408A" w:rsidP="0008408A">
            <w:pPr>
              <w:tabs>
                <w:tab w:val="clear" w:pos="720"/>
                <w:tab w:val="clear" w:pos="1440"/>
                <w:tab w:val="clear" w:pos="2160"/>
                <w:tab w:val="clear" w:pos="2880"/>
                <w:tab w:val="clear" w:pos="4680"/>
                <w:tab w:val="clear" w:pos="5400"/>
                <w:tab w:val="clear" w:pos="9000"/>
              </w:tabs>
              <w:spacing w:line="240" w:lineRule="auto"/>
              <w:textAlignment w:val="baseline"/>
              <w:rPr>
                <w:rFonts w:cs="Arial"/>
                <w:sz w:val="22"/>
                <w:szCs w:val="22"/>
              </w:rPr>
            </w:pPr>
            <w:r w:rsidRPr="0008408A">
              <w:rPr>
                <w:rFonts w:cs="Arial"/>
                <w:sz w:val="22"/>
                <w:szCs w:val="22"/>
              </w:rPr>
              <w:t>234</w:t>
            </w:r>
          </w:p>
        </w:tc>
        <w:tc>
          <w:tcPr>
            <w:tcW w:w="1701" w:type="dxa"/>
          </w:tcPr>
          <w:p w14:paraId="6D8545D1" w14:textId="77777777" w:rsidR="0008408A" w:rsidRPr="0008408A" w:rsidRDefault="0008408A" w:rsidP="0008408A">
            <w:pPr>
              <w:rPr>
                <w:rFonts w:cs="Arial"/>
                <w:sz w:val="22"/>
                <w:szCs w:val="22"/>
              </w:rPr>
            </w:pPr>
            <w:r w:rsidRPr="0008408A">
              <w:rPr>
                <w:rFonts w:cs="Arial"/>
                <w:sz w:val="22"/>
                <w:szCs w:val="22"/>
              </w:rPr>
              <w:t>7.5%</w:t>
            </w:r>
          </w:p>
        </w:tc>
        <w:tc>
          <w:tcPr>
            <w:tcW w:w="1843" w:type="dxa"/>
          </w:tcPr>
          <w:p w14:paraId="2CD44B6A" w14:textId="77777777" w:rsidR="0008408A" w:rsidRPr="0008408A" w:rsidRDefault="0008408A" w:rsidP="0008408A">
            <w:pPr>
              <w:rPr>
                <w:rFonts w:cs="Arial"/>
                <w:sz w:val="22"/>
                <w:szCs w:val="22"/>
              </w:rPr>
            </w:pPr>
            <w:r w:rsidRPr="0008408A">
              <w:rPr>
                <w:rFonts w:cs="Arial"/>
                <w:sz w:val="22"/>
                <w:szCs w:val="22"/>
              </w:rPr>
              <w:t>4.3</w:t>
            </w:r>
          </w:p>
        </w:tc>
        <w:tc>
          <w:tcPr>
            <w:tcW w:w="1701" w:type="dxa"/>
          </w:tcPr>
          <w:p w14:paraId="675DF3B4" w14:textId="77777777" w:rsidR="0008408A" w:rsidRPr="0008408A" w:rsidRDefault="0008408A" w:rsidP="0008408A">
            <w:pPr>
              <w:rPr>
                <w:rFonts w:cs="Arial"/>
                <w:sz w:val="22"/>
                <w:szCs w:val="22"/>
              </w:rPr>
            </w:pPr>
            <w:r w:rsidRPr="0008408A">
              <w:rPr>
                <w:rFonts w:cs="Arial"/>
                <w:sz w:val="22"/>
                <w:szCs w:val="22"/>
              </w:rPr>
              <w:t>2.7</w:t>
            </w:r>
          </w:p>
        </w:tc>
      </w:tr>
      <w:tr w:rsidR="0008408A" w:rsidRPr="0008408A" w14:paraId="30266005" w14:textId="77777777" w:rsidTr="0008408A">
        <w:tc>
          <w:tcPr>
            <w:tcW w:w="1678" w:type="dxa"/>
          </w:tcPr>
          <w:p w14:paraId="358869E8" w14:textId="77777777" w:rsidR="0008408A" w:rsidRPr="0008408A" w:rsidRDefault="0008408A" w:rsidP="0008408A">
            <w:pPr>
              <w:rPr>
                <w:rFonts w:cs="Arial"/>
                <w:sz w:val="22"/>
                <w:szCs w:val="22"/>
              </w:rPr>
            </w:pPr>
            <w:r w:rsidRPr="0008408A">
              <w:rPr>
                <w:rFonts w:cs="Arial"/>
                <w:sz w:val="22"/>
                <w:szCs w:val="22"/>
              </w:rPr>
              <w:t>Norway</w:t>
            </w:r>
          </w:p>
        </w:tc>
        <w:tc>
          <w:tcPr>
            <w:tcW w:w="982" w:type="dxa"/>
          </w:tcPr>
          <w:p w14:paraId="4D53B7A8" w14:textId="77777777" w:rsidR="0008408A" w:rsidRPr="0008408A" w:rsidRDefault="0008408A" w:rsidP="0008408A">
            <w:pPr>
              <w:rPr>
                <w:rFonts w:cs="Arial"/>
                <w:sz w:val="22"/>
                <w:szCs w:val="22"/>
              </w:rPr>
            </w:pPr>
            <w:r w:rsidRPr="0008408A">
              <w:rPr>
                <w:rFonts w:cs="Arial"/>
                <w:sz w:val="22"/>
                <w:szCs w:val="22"/>
              </w:rPr>
              <w:t>2015</w:t>
            </w:r>
          </w:p>
        </w:tc>
        <w:tc>
          <w:tcPr>
            <w:tcW w:w="1417" w:type="dxa"/>
          </w:tcPr>
          <w:p w14:paraId="1FB981B9" w14:textId="77777777" w:rsidR="0008408A" w:rsidRPr="0008408A" w:rsidRDefault="0008408A" w:rsidP="0008408A">
            <w:pPr>
              <w:tabs>
                <w:tab w:val="clear" w:pos="720"/>
                <w:tab w:val="clear" w:pos="1440"/>
                <w:tab w:val="clear" w:pos="2160"/>
                <w:tab w:val="clear" w:pos="2880"/>
                <w:tab w:val="clear" w:pos="4680"/>
                <w:tab w:val="clear" w:pos="5400"/>
                <w:tab w:val="clear" w:pos="9000"/>
              </w:tabs>
              <w:spacing w:line="240" w:lineRule="auto"/>
              <w:textAlignment w:val="baseline"/>
              <w:rPr>
                <w:rFonts w:cs="Arial"/>
                <w:sz w:val="22"/>
                <w:szCs w:val="22"/>
              </w:rPr>
            </w:pPr>
            <w:r w:rsidRPr="0008408A">
              <w:rPr>
                <w:rFonts w:cs="Arial"/>
                <w:sz w:val="22"/>
                <w:szCs w:val="22"/>
              </w:rPr>
              <w:t>217</w:t>
            </w:r>
          </w:p>
        </w:tc>
        <w:tc>
          <w:tcPr>
            <w:tcW w:w="1701" w:type="dxa"/>
          </w:tcPr>
          <w:p w14:paraId="2AB259F2" w14:textId="77777777" w:rsidR="0008408A" w:rsidRPr="0008408A" w:rsidRDefault="0008408A" w:rsidP="0008408A">
            <w:pPr>
              <w:rPr>
                <w:rFonts w:cs="Arial"/>
                <w:sz w:val="22"/>
                <w:szCs w:val="22"/>
              </w:rPr>
            </w:pPr>
            <w:r w:rsidRPr="0008408A">
              <w:rPr>
                <w:rFonts w:cs="Arial"/>
                <w:sz w:val="22"/>
                <w:szCs w:val="22"/>
              </w:rPr>
              <w:t>5.8%</w:t>
            </w:r>
          </w:p>
        </w:tc>
        <w:tc>
          <w:tcPr>
            <w:tcW w:w="1843" w:type="dxa"/>
          </w:tcPr>
          <w:p w14:paraId="1731542F" w14:textId="77777777" w:rsidR="0008408A" w:rsidRPr="0008408A" w:rsidRDefault="0008408A" w:rsidP="0008408A">
            <w:pPr>
              <w:rPr>
                <w:rFonts w:cs="Arial"/>
                <w:sz w:val="22"/>
                <w:szCs w:val="22"/>
              </w:rPr>
            </w:pPr>
            <w:r w:rsidRPr="0008408A">
              <w:rPr>
                <w:rFonts w:cs="Arial"/>
                <w:sz w:val="22"/>
                <w:szCs w:val="22"/>
              </w:rPr>
              <w:t>4.2</w:t>
            </w:r>
          </w:p>
        </w:tc>
        <w:tc>
          <w:tcPr>
            <w:tcW w:w="1701" w:type="dxa"/>
          </w:tcPr>
          <w:p w14:paraId="5A775C8C" w14:textId="77777777" w:rsidR="0008408A" w:rsidRPr="0008408A" w:rsidRDefault="0008408A" w:rsidP="0008408A">
            <w:pPr>
              <w:rPr>
                <w:rFonts w:cs="Arial"/>
                <w:sz w:val="22"/>
                <w:szCs w:val="22"/>
              </w:rPr>
            </w:pPr>
            <w:r w:rsidRPr="0008408A">
              <w:rPr>
                <w:rFonts w:cs="Arial"/>
                <w:sz w:val="22"/>
                <w:szCs w:val="22"/>
              </w:rPr>
              <w:t>3.3</w:t>
            </w:r>
          </w:p>
        </w:tc>
      </w:tr>
      <w:tr w:rsidR="0008408A" w:rsidRPr="0008408A" w14:paraId="2F2312F3" w14:textId="77777777" w:rsidTr="0008408A">
        <w:tc>
          <w:tcPr>
            <w:tcW w:w="1678" w:type="dxa"/>
          </w:tcPr>
          <w:p w14:paraId="4B3E6EA4" w14:textId="77777777" w:rsidR="0008408A" w:rsidRPr="0008408A" w:rsidRDefault="0008408A" w:rsidP="0008408A">
            <w:pPr>
              <w:rPr>
                <w:rFonts w:cs="Arial"/>
                <w:sz w:val="22"/>
                <w:szCs w:val="22"/>
              </w:rPr>
            </w:pPr>
            <w:r w:rsidRPr="0008408A">
              <w:rPr>
                <w:rFonts w:cs="Arial"/>
                <w:sz w:val="22"/>
                <w:szCs w:val="22"/>
              </w:rPr>
              <w:t>Netherlands</w:t>
            </w:r>
          </w:p>
        </w:tc>
        <w:tc>
          <w:tcPr>
            <w:tcW w:w="982" w:type="dxa"/>
          </w:tcPr>
          <w:p w14:paraId="352766B7" w14:textId="77777777" w:rsidR="0008408A" w:rsidRPr="0008408A" w:rsidRDefault="0008408A" w:rsidP="0008408A">
            <w:pPr>
              <w:rPr>
                <w:rFonts w:cs="Arial"/>
                <w:sz w:val="22"/>
                <w:szCs w:val="22"/>
              </w:rPr>
            </w:pPr>
            <w:r w:rsidRPr="0008408A">
              <w:rPr>
                <w:rFonts w:cs="Arial"/>
                <w:sz w:val="22"/>
                <w:szCs w:val="22"/>
              </w:rPr>
              <w:t>2013</w:t>
            </w:r>
          </w:p>
        </w:tc>
        <w:tc>
          <w:tcPr>
            <w:tcW w:w="1417" w:type="dxa"/>
          </w:tcPr>
          <w:p w14:paraId="439C4BDA" w14:textId="77777777" w:rsidR="0008408A" w:rsidRPr="0008408A" w:rsidRDefault="0008408A" w:rsidP="0008408A">
            <w:pPr>
              <w:tabs>
                <w:tab w:val="clear" w:pos="720"/>
                <w:tab w:val="clear" w:pos="1440"/>
                <w:tab w:val="clear" w:pos="2160"/>
                <w:tab w:val="clear" w:pos="2880"/>
                <w:tab w:val="clear" w:pos="4680"/>
                <w:tab w:val="clear" w:pos="5400"/>
                <w:tab w:val="clear" w:pos="9000"/>
              </w:tabs>
              <w:spacing w:line="240" w:lineRule="auto"/>
              <w:textAlignment w:val="baseline"/>
              <w:rPr>
                <w:rFonts w:cs="Arial"/>
                <w:sz w:val="22"/>
                <w:szCs w:val="22"/>
              </w:rPr>
            </w:pPr>
            <w:r w:rsidRPr="0008408A">
              <w:rPr>
                <w:rFonts w:cs="Arial"/>
                <w:sz w:val="22"/>
                <w:szCs w:val="22"/>
              </w:rPr>
              <w:t>687</w:t>
            </w:r>
          </w:p>
        </w:tc>
        <w:tc>
          <w:tcPr>
            <w:tcW w:w="1701" w:type="dxa"/>
          </w:tcPr>
          <w:p w14:paraId="5E16CE13" w14:textId="77777777" w:rsidR="0008408A" w:rsidRPr="0008408A" w:rsidRDefault="0008408A" w:rsidP="0008408A">
            <w:pPr>
              <w:rPr>
                <w:rFonts w:cs="Arial"/>
                <w:sz w:val="22"/>
                <w:szCs w:val="22"/>
              </w:rPr>
            </w:pPr>
            <w:r w:rsidRPr="0008408A">
              <w:rPr>
                <w:rFonts w:cs="Arial"/>
                <w:sz w:val="22"/>
                <w:szCs w:val="22"/>
              </w:rPr>
              <w:t>5.4%</w:t>
            </w:r>
          </w:p>
        </w:tc>
        <w:tc>
          <w:tcPr>
            <w:tcW w:w="1843" w:type="dxa"/>
          </w:tcPr>
          <w:p w14:paraId="2BEC8D9D" w14:textId="77777777" w:rsidR="0008408A" w:rsidRPr="0008408A" w:rsidRDefault="0008408A" w:rsidP="0008408A">
            <w:pPr>
              <w:rPr>
                <w:rFonts w:cs="Arial"/>
                <w:sz w:val="22"/>
                <w:szCs w:val="22"/>
              </w:rPr>
            </w:pPr>
            <w:r w:rsidRPr="0008408A">
              <w:rPr>
                <w:rFonts w:cs="Arial"/>
                <w:sz w:val="22"/>
                <w:szCs w:val="22"/>
              </w:rPr>
              <w:t>4.1</w:t>
            </w:r>
          </w:p>
        </w:tc>
        <w:tc>
          <w:tcPr>
            <w:tcW w:w="1701" w:type="dxa"/>
          </w:tcPr>
          <w:p w14:paraId="2D018A4A" w14:textId="77777777" w:rsidR="0008408A" w:rsidRPr="0008408A" w:rsidRDefault="0008408A" w:rsidP="0008408A">
            <w:pPr>
              <w:rPr>
                <w:rFonts w:cs="Arial"/>
                <w:sz w:val="22"/>
                <w:szCs w:val="22"/>
              </w:rPr>
            </w:pPr>
            <w:r w:rsidRPr="0008408A">
              <w:rPr>
                <w:rFonts w:cs="Arial"/>
                <w:sz w:val="22"/>
                <w:szCs w:val="22"/>
              </w:rPr>
              <w:t>7.7</w:t>
            </w:r>
          </w:p>
        </w:tc>
      </w:tr>
      <w:tr w:rsidR="0008408A" w:rsidRPr="0008408A" w14:paraId="6946D459" w14:textId="77777777" w:rsidTr="0008408A">
        <w:tc>
          <w:tcPr>
            <w:tcW w:w="1678" w:type="dxa"/>
          </w:tcPr>
          <w:p w14:paraId="6F9AB47D" w14:textId="77777777" w:rsidR="0008408A" w:rsidRPr="0008408A" w:rsidRDefault="0008408A" w:rsidP="0008408A">
            <w:pPr>
              <w:rPr>
                <w:rFonts w:cs="Arial"/>
                <w:sz w:val="22"/>
                <w:szCs w:val="22"/>
              </w:rPr>
            </w:pPr>
            <w:r w:rsidRPr="0008408A">
              <w:rPr>
                <w:rFonts w:cs="Arial"/>
                <w:sz w:val="22"/>
                <w:szCs w:val="22"/>
              </w:rPr>
              <w:t>Sweden</w:t>
            </w:r>
          </w:p>
        </w:tc>
        <w:tc>
          <w:tcPr>
            <w:tcW w:w="982" w:type="dxa"/>
          </w:tcPr>
          <w:p w14:paraId="1D0B12CD" w14:textId="77777777" w:rsidR="0008408A" w:rsidRPr="0008408A" w:rsidRDefault="0008408A" w:rsidP="0008408A">
            <w:pPr>
              <w:rPr>
                <w:rFonts w:cs="Arial"/>
                <w:sz w:val="22"/>
                <w:szCs w:val="22"/>
              </w:rPr>
            </w:pPr>
            <w:r w:rsidRPr="0008408A">
              <w:rPr>
                <w:rFonts w:cs="Arial"/>
                <w:sz w:val="22"/>
                <w:szCs w:val="22"/>
              </w:rPr>
              <w:t>2014</w:t>
            </w:r>
          </w:p>
        </w:tc>
        <w:tc>
          <w:tcPr>
            <w:tcW w:w="1417" w:type="dxa"/>
          </w:tcPr>
          <w:p w14:paraId="4CDD11D2" w14:textId="77777777" w:rsidR="0008408A" w:rsidRPr="0008408A" w:rsidRDefault="0008408A" w:rsidP="0008408A">
            <w:pPr>
              <w:tabs>
                <w:tab w:val="clear" w:pos="720"/>
                <w:tab w:val="clear" w:pos="1440"/>
                <w:tab w:val="clear" w:pos="2160"/>
                <w:tab w:val="clear" w:pos="2880"/>
                <w:tab w:val="clear" w:pos="4680"/>
                <w:tab w:val="clear" w:pos="5400"/>
                <w:tab w:val="clear" w:pos="9000"/>
              </w:tabs>
              <w:spacing w:line="240" w:lineRule="auto"/>
              <w:textAlignment w:val="baseline"/>
              <w:rPr>
                <w:rFonts w:cs="Arial"/>
                <w:sz w:val="22"/>
                <w:szCs w:val="22"/>
              </w:rPr>
            </w:pPr>
            <w:r w:rsidRPr="0008408A">
              <w:rPr>
                <w:rFonts w:cs="Arial"/>
                <w:sz w:val="22"/>
                <w:szCs w:val="22"/>
              </w:rPr>
              <w:t>326</w:t>
            </w:r>
          </w:p>
        </w:tc>
        <w:tc>
          <w:tcPr>
            <w:tcW w:w="1701" w:type="dxa"/>
          </w:tcPr>
          <w:p w14:paraId="58018CD7" w14:textId="77777777" w:rsidR="0008408A" w:rsidRPr="0008408A" w:rsidRDefault="0008408A" w:rsidP="0008408A">
            <w:pPr>
              <w:rPr>
                <w:rFonts w:cs="Arial"/>
                <w:sz w:val="22"/>
                <w:szCs w:val="22"/>
              </w:rPr>
            </w:pPr>
            <w:r w:rsidRPr="0008408A">
              <w:rPr>
                <w:rFonts w:cs="Arial"/>
                <w:sz w:val="22"/>
                <w:szCs w:val="22"/>
              </w:rPr>
              <w:t>5.6%</w:t>
            </w:r>
          </w:p>
        </w:tc>
        <w:tc>
          <w:tcPr>
            <w:tcW w:w="1843" w:type="dxa"/>
          </w:tcPr>
          <w:p w14:paraId="4E84EEFE" w14:textId="77777777" w:rsidR="0008408A" w:rsidRPr="0008408A" w:rsidRDefault="0008408A" w:rsidP="0008408A">
            <w:pPr>
              <w:rPr>
                <w:rFonts w:cs="Arial"/>
                <w:sz w:val="22"/>
                <w:szCs w:val="22"/>
              </w:rPr>
            </w:pPr>
            <w:r w:rsidRPr="0008408A">
              <w:rPr>
                <w:rFonts w:cs="Arial"/>
                <w:sz w:val="22"/>
                <w:szCs w:val="22"/>
              </w:rPr>
              <w:t>3.4</w:t>
            </w:r>
          </w:p>
        </w:tc>
        <w:tc>
          <w:tcPr>
            <w:tcW w:w="1701" w:type="dxa"/>
          </w:tcPr>
          <w:p w14:paraId="5CD16CC6" w14:textId="77777777" w:rsidR="0008408A" w:rsidRPr="0008408A" w:rsidRDefault="0008408A" w:rsidP="0008408A">
            <w:pPr>
              <w:rPr>
                <w:rFonts w:cs="Arial"/>
                <w:sz w:val="22"/>
                <w:szCs w:val="22"/>
              </w:rPr>
            </w:pPr>
            <w:r w:rsidRPr="0008408A">
              <w:rPr>
                <w:rFonts w:cs="Arial"/>
                <w:sz w:val="22"/>
                <w:szCs w:val="22"/>
              </w:rPr>
              <w:t>3.2</w:t>
            </w:r>
          </w:p>
        </w:tc>
      </w:tr>
      <w:tr w:rsidR="0008408A" w:rsidRPr="0008408A" w14:paraId="2984772F" w14:textId="77777777" w:rsidTr="0008408A">
        <w:tc>
          <w:tcPr>
            <w:tcW w:w="1678" w:type="dxa"/>
          </w:tcPr>
          <w:p w14:paraId="5D4D542A" w14:textId="77777777" w:rsidR="0008408A" w:rsidRPr="0008408A" w:rsidRDefault="0008408A" w:rsidP="0008408A">
            <w:pPr>
              <w:rPr>
                <w:rFonts w:cs="Arial"/>
                <w:sz w:val="22"/>
                <w:szCs w:val="22"/>
              </w:rPr>
            </w:pPr>
            <w:r w:rsidRPr="0008408A">
              <w:rPr>
                <w:rFonts w:cs="Arial"/>
                <w:sz w:val="22"/>
                <w:szCs w:val="22"/>
              </w:rPr>
              <w:t>France</w:t>
            </w:r>
          </w:p>
        </w:tc>
        <w:tc>
          <w:tcPr>
            <w:tcW w:w="982" w:type="dxa"/>
          </w:tcPr>
          <w:p w14:paraId="7AA2B66E" w14:textId="77777777" w:rsidR="0008408A" w:rsidRPr="0008408A" w:rsidRDefault="0008408A" w:rsidP="0008408A">
            <w:pPr>
              <w:rPr>
                <w:rFonts w:cs="Arial"/>
                <w:sz w:val="22"/>
                <w:szCs w:val="22"/>
              </w:rPr>
            </w:pPr>
            <w:r w:rsidRPr="0008408A">
              <w:rPr>
                <w:rFonts w:cs="Arial"/>
                <w:sz w:val="22"/>
                <w:szCs w:val="22"/>
              </w:rPr>
              <w:t>2015</w:t>
            </w:r>
          </w:p>
        </w:tc>
        <w:tc>
          <w:tcPr>
            <w:tcW w:w="1417" w:type="dxa"/>
          </w:tcPr>
          <w:p w14:paraId="4F3D9EBC" w14:textId="77777777" w:rsidR="0008408A" w:rsidRPr="0008408A" w:rsidRDefault="0008408A" w:rsidP="0008408A">
            <w:pPr>
              <w:tabs>
                <w:tab w:val="clear" w:pos="720"/>
                <w:tab w:val="clear" w:pos="1440"/>
                <w:tab w:val="clear" w:pos="2160"/>
                <w:tab w:val="clear" w:pos="2880"/>
                <w:tab w:val="clear" w:pos="4680"/>
                <w:tab w:val="clear" w:pos="5400"/>
                <w:tab w:val="clear" w:pos="9000"/>
              </w:tabs>
              <w:spacing w:line="240" w:lineRule="auto"/>
              <w:textAlignment w:val="baseline"/>
              <w:rPr>
                <w:rFonts w:cs="Arial"/>
                <w:sz w:val="22"/>
                <w:szCs w:val="22"/>
              </w:rPr>
            </w:pPr>
            <w:r w:rsidRPr="0008408A">
              <w:rPr>
                <w:rFonts w:cs="Arial"/>
                <w:sz w:val="22"/>
                <w:szCs w:val="22"/>
              </w:rPr>
              <w:t>2,183</w:t>
            </w:r>
          </w:p>
          <w:p w14:paraId="09FF670B" w14:textId="77777777" w:rsidR="0008408A" w:rsidRPr="0008408A" w:rsidRDefault="0008408A" w:rsidP="0008408A">
            <w:pPr>
              <w:rPr>
                <w:rFonts w:cs="Arial"/>
                <w:sz w:val="22"/>
                <w:szCs w:val="22"/>
              </w:rPr>
            </w:pPr>
          </w:p>
        </w:tc>
        <w:tc>
          <w:tcPr>
            <w:tcW w:w="1701" w:type="dxa"/>
          </w:tcPr>
          <w:p w14:paraId="2620D52F" w14:textId="77777777" w:rsidR="0008408A" w:rsidRPr="0008408A" w:rsidRDefault="0008408A" w:rsidP="0008408A">
            <w:pPr>
              <w:rPr>
                <w:rFonts w:cs="Arial"/>
                <w:sz w:val="22"/>
                <w:szCs w:val="22"/>
              </w:rPr>
            </w:pPr>
            <w:r w:rsidRPr="0008408A">
              <w:rPr>
                <w:rFonts w:cs="Arial"/>
                <w:sz w:val="22"/>
                <w:szCs w:val="22"/>
              </w:rPr>
              <w:t>3.3%</w:t>
            </w:r>
          </w:p>
        </w:tc>
        <w:tc>
          <w:tcPr>
            <w:tcW w:w="1843" w:type="dxa"/>
          </w:tcPr>
          <w:p w14:paraId="549F2ACA" w14:textId="77777777" w:rsidR="0008408A" w:rsidRPr="0008408A" w:rsidRDefault="0008408A" w:rsidP="0008408A">
            <w:pPr>
              <w:rPr>
                <w:rFonts w:cs="Arial"/>
                <w:sz w:val="22"/>
                <w:szCs w:val="22"/>
              </w:rPr>
            </w:pPr>
            <w:r w:rsidRPr="0008408A">
              <w:rPr>
                <w:rFonts w:cs="Arial"/>
                <w:sz w:val="22"/>
                <w:szCs w:val="22"/>
              </w:rPr>
              <w:t>3.3</w:t>
            </w:r>
          </w:p>
        </w:tc>
        <w:tc>
          <w:tcPr>
            <w:tcW w:w="1701" w:type="dxa"/>
          </w:tcPr>
          <w:p w14:paraId="7939627E" w14:textId="77777777" w:rsidR="0008408A" w:rsidRPr="0008408A" w:rsidRDefault="0008408A" w:rsidP="0008408A">
            <w:pPr>
              <w:rPr>
                <w:rFonts w:cs="Arial"/>
                <w:sz w:val="22"/>
                <w:szCs w:val="22"/>
              </w:rPr>
            </w:pPr>
            <w:r w:rsidRPr="0008408A">
              <w:rPr>
                <w:rFonts w:cs="Arial"/>
                <w:sz w:val="22"/>
                <w:szCs w:val="22"/>
              </w:rPr>
              <w:t>3.0</w:t>
            </w:r>
          </w:p>
        </w:tc>
      </w:tr>
      <w:tr w:rsidR="0008408A" w:rsidRPr="0008408A" w14:paraId="623A03FD" w14:textId="77777777" w:rsidTr="0008408A">
        <w:tc>
          <w:tcPr>
            <w:tcW w:w="1678" w:type="dxa"/>
          </w:tcPr>
          <w:p w14:paraId="59DCFFD8" w14:textId="77777777" w:rsidR="0008408A" w:rsidRPr="0008408A" w:rsidRDefault="0008408A" w:rsidP="0008408A">
            <w:pPr>
              <w:rPr>
                <w:rFonts w:cs="Arial"/>
                <w:sz w:val="22"/>
                <w:szCs w:val="22"/>
              </w:rPr>
            </w:pPr>
            <w:r w:rsidRPr="0008408A">
              <w:rPr>
                <w:rFonts w:cs="Arial"/>
                <w:sz w:val="22"/>
                <w:szCs w:val="22"/>
              </w:rPr>
              <w:lastRenderedPageBreak/>
              <w:t>Northern Ireland</w:t>
            </w:r>
          </w:p>
        </w:tc>
        <w:tc>
          <w:tcPr>
            <w:tcW w:w="982" w:type="dxa"/>
          </w:tcPr>
          <w:p w14:paraId="0E4FDD09" w14:textId="77777777" w:rsidR="0008408A" w:rsidRPr="0008408A" w:rsidRDefault="0008408A" w:rsidP="0008408A">
            <w:pPr>
              <w:rPr>
                <w:rFonts w:cs="Arial"/>
                <w:sz w:val="22"/>
                <w:szCs w:val="22"/>
              </w:rPr>
            </w:pPr>
            <w:r w:rsidRPr="0008408A">
              <w:rPr>
                <w:rFonts w:cs="Arial"/>
                <w:sz w:val="22"/>
                <w:szCs w:val="22"/>
              </w:rPr>
              <w:t>2015</w:t>
            </w:r>
          </w:p>
        </w:tc>
        <w:tc>
          <w:tcPr>
            <w:tcW w:w="1417" w:type="dxa"/>
          </w:tcPr>
          <w:p w14:paraId="28DF5466" w14:textId="77777777" w:rsidR="0008408A" w:rsidRPr="0008408A" w:rsidRDefault="0008408A" w:rsidP="0008408A">
            <w:pPr>
              <w:tabs>
                <w:tab w:val="clear" w:pos="720"/>
                <w:tab w:val="clear" w:pos="1440"/>
                <w:tab w:val="clear" w:pos="2160"/>
                <w:tab w:val="clear" w:pos="2880"/>
                <w:tab w:val="clear" w:pos="4680"/>
                <w:tab w:val="clear" w:pos="5400"/>
                <w:tab w:val="clear" w:pos="9000"/>
              </w:tabs>
              <w:spacing w:line="240" w:lineRule="auto"/>
              <w:textAlignment w:val="baseline"/>
              <w:rPr>
                <w:rFonts w:cs="Arial"/>
                <w:sz w:val="22"/>
                <w:szCs w:val="22"/>
              </w:rPr>
            </w:pPr>
            <w:r w:rsidRPr="0008408A">
              <w:rPr>
                <w:rFonts w:cs="Arial"/>
                <w:sz w:val="22"/>
                <w:szCs w:val="22"/>
              </w:rPr>
              <w:t>54</w:t>
            </w:r>
          </w:p>
        </w:tc>
        <w:tc>
          <w:tcPr>
            <w:tcW w:w="1701" w:type="dxa"/>
          </w:tcPr>
          <w:p w14:paraId="1AB59464" w14:textId="77777777" w:rsidR="0008408A" w:rsidRPr="0008408A" w:rsidRDefault="0008408A" w:rsidP="0008408A">
            <w:pPr>
              <w:rPr>
                <w:rFonts w:cs="Arial"/>
                <w:sz w:val="22"/>
                <w:szCs w:val="22"/>
              </w:rPr>
            </w:pPr>
            <w:r w:rsidRPr="0008408A">
              <w:rPr>
                <w:rFonts w:cs="Arial"/>
                <w:sz w:val="22"/>
                <w:szCs w:val="22"/>
              </w:rPr>
              <w:t>3.2%</w:t>
            </w:r>
          </w:p>
        </w:tc>
        <w:tc>
          <w:tcPr>
            <w:tcW w:w="1843" w:type="dxa"/>
          </w:tcPr>
          <w:p w14:paraId="430A70CF" w14:textId="77777777" w:rsidR="0008408A" w:rsidRPr="0008408A" w:rsidRDefault="0008408A" w:rsidP="0008408A">
            <w:pPr>
              <w:rPr>
                <w:rFonts w:cs="Arial"/>
                <w:sz w:val="22"/>
                <w:szCs w:val="22"/>
              </w:rPr>
            </w:pPr>
            <w:r w:rsidRPr="0008408A">
              <w:rPr>
                <w:rFonts w:cs="Arial"/>
                <w:sz w:val="22"/>
                <w:szCs w:val="22"/>
              </w:rPr>
              <w:t>2.9</w:t>
            </w:r>
          </w:p>
        </w:tc>
        <w:tc>
          <w:tcPr>
            <w:tcW w:w="1701" w:type="dxa"/>
          </w:tcPr>
          <w:p w14:paraId="02967CAF" w14:textId="77777777" w:rsidR="0008408A" w:rsidRPr="0008408A" w:rsidRDefault="0008408A" w:rsidP="0008408A">
            <w:pPr>
              <w:rPr>
                <w:rFonts w:cs="Arial"/>
                <w:sz w:val="22"/>
                <w:szCs w:val="22"/>
              </w:rPr>
            </w:pPr>
            <w:r w:rsidRPr="0008408A">
              <w:rPr>
                <w:rFonts w:cs="Arial"/>
                <w:sz w:val="22"/>
                <w:szCs w:val="22"/>
              </w:rPr>
              <w:t>1.4</w:t>
            </w:r>
          </w:p>
        </w:tc>
      </w:tr>
      <w:tr w:rsidR="0008408A" w:rsidRPr="0008408A" w14:paraId="099F7987" w14:textId="77777777" w:rsidTr="0008408A">
        <w:tc>
          <w:tcPr>
            <w:tcW w:w="1678" w:type="dxa"/>
          </w:tcPr>
          <w:p w14:paraId="66B7E683" w14:textId="77777777" w:rsidR="0008408A" w:rsidRPr="0008408A" w:rsidRDefault="0008408A" w:rsidP="0008408A">
            <w:pPr>
              <w:rPr>
                <w:rFonts w:cs="Arial"/>
                <w:sz w:val="22"/>
                <w:szCs w:val="22"/>
              </w:rPr>
            </w:pPr>
            <w:r w:rsidRPr="0008408A">
              <w:rPr>
                <w:rFonts w:cs="Arial"/>
                <w:sz w:val="22"/>
                <w:szCs w:val="22"/>
              </w:rPr>
              <w:t>Ireland</w:t>
            </w:r>
          </w:p>
        </w:tc>
        <w:tc>
          <w:tcPr>
            <w:tcW w:w="982" w:type="dxa"/>
          </w:tcPr>
          <w:p w14:paraId="38132C1F" w14:textId="77777777" w:rsidR="0008408A" w:rsidRPr="0008408A" w:rsidRDefault="0008408A" w:rsidP="0008408A">
            <w:pPr>
              <w:rPr>
                <w:rFonts w:cs="Arial"/>
                <w:sz w:val="22"/>
                <w:szCs w:val="22"/>
              </w:rPr>
            </w:pPr>
            <w:r w:rsidRPr="0008408A">
              <w:rPr>
                <w:rFonts w:cs="Arial"/>
                <w:sz w:val="22"/>
                <w:szCs w:val="22"/>
              </w:rPr>
              <w:t>2015</w:t>
            </w:r>
          </w:p>
        </w:tc>
        <w:tc>
          <w:tcPr>
            <w:tcW w:w="1417" w:type="dxa"/>
          </w:tcPr>
          <w:p w14:paraId="529076C1" w14:textId="77777777" w:rsidR="0008408A" w:rsidRPr="0008408A" w:rsidRDefault="0008408A" w:rsidP="0008408A">
            <w:pPr>
              <w:tabs>
                <w:tab w:val="clear" w:pos="720"/>
                <w:tab w:val="clear" w:pos="1440"/>
                <w:tab w:val="clear" w:pos="2160"/>
                <w:tab w:val="clear" w:pos="2880"/>
                <w:tab w:val="clear" w:pos="4680"/>
                <w:tab w:val="clear" w:pos="5400"/>
                <w:tab w:val="clear" w:pos="9000"/>
              </w:tabs>
              <w:spacing w:line="240" w:lineRule="auto"/>
              <w:textAlignment w:val="baseline"/>
              <w:rPr>
                <w:rFonts w:cs="Arial"/>
                <w:sz w:val="22"/>
                <w:szCs w:val="22"/>
              </w:rPr>
            </w:pPr>
            <w:r w:rsidRPr="0008408A">
              <w:rPr>
                <w:rFonts w:cs="Arial"/>
                <w:sz w:val="22"/>
                <w:szCs w:val="22"/>
              </w:rPr>
              <w:t>124</w:t>
            </w:r>
          </w:p>
        </w:tc>
        <w:tc>
          <w:tcPr>
            <w:tcW w:w="1701" w:type="dxa"/>
          </w:tcPr>
          <w:p w14:paraId="0B28AD9F" w14:textId="77777777" w:rsidR="0008408A" w:rsidRPr="0008408A" w:rsidRDefault="0008408A" w:rsidP="0008408A">
            <w:pPr>
              <w:rPr>
                <w:rFonts w:cs="Arial"/>
                <w:sz w:val="22"/>
                <w:szCs w:val="22"/>
              </w:rPr>
            </w:pPr>
            <w:r w:rsidRPr="0008408A">
              <w:rPr>
                <w:rFonts w:cs="Arial"/>
                <w:sz w:val="22"/>
                <w:szCs w:val="22"/>
              </w:rPr>
              <w:t>3.3%</w:t>
            </w:r>
          </w:p>
        </w:tc>
        <w:tc>
          <w:tcPr>
            <w:tcW w:w="1843" w:type="dxa"/>
          </w:tcPr>
          <w:p w14:paraId="329968A1" w14:textId="77777777" w:rsidR="0008408A" w:rsidRPr="0008408A" w:rsidRDefault="0008408A" w:rsidP="0008408A">
            <w:pPr>
              <w:rPr>
                <w:rFonts w:cs="Arial"/>
                <w:sz w:val="22"/>
                <w:szCs w:val="22"/>
              </w:rPr>
            </w:pPr>
            <w:r w:rsidRPr="0008408A">
              <w:rPr>
                <w:rFonts w:cs="Arial"/>
                <w:sz w:val="22"/>
                <w:szCs w:val="22"/>
              </w:rPr>
              <w:t>2.7</w:t>
            </w:r>
          </w:p>
        </w:tc>
        <w:tc>
          <w:tcPr>
            <w:tcW w:w="1701" w:type="dxa"/>
          </w:tcPr>
          <w:p w14:paraId="424FC759" w14:textId="77777777" w:rsidR="0008408A" w:rsidRPr="0008408A" w:rsidRDefault="0008408A" w:rsidP="0008408A">
            <w:pPr>
              <w:rPr>
                <w:rFonts w:cs="Arial"/>
                <w:sz w:val="22"/>
                <w:szCs w:val="22"/>
              </w:rPr>
            </w:pPr>
            <w:r w:rsidRPr="0008408A">
              <w:rPr>
                <w:rFonts w:cs="Arial"/>
                <w:sz w:val="22"/>
                <w:szCs w:val="22"/>
              </w:rPr>
              <w:t>2.2</w:t>
            </w:r>
          </w:p>
        </w:tc>
      </w:tr>
      <w:tr w:rsidR="0008408A" w:rsidRPr="0008408A" w14:paraId="77F56998" w14:textId="77777777" w:rsidTr="0008408A">
        <w:tc>
          <w:tcPr>
            <w:tcW w:w="1678" w:type="dxa"/>
          </w:tcPr>
          <w:p w14:paraId="4605DB80" w14:textId="77777777" w:rsidR="0008408A" w:rsidRPr="0008408A" w:rsidRDefault="0008408A" w:rsidP="0008408A">
            <w:pPr>
              <w:rPr>
                <w:rFonts w:cs="Arial"/>
                <w:sz w:val="22"/>
                <w:szCs w:val="22"/>
              </w:rPr>
            </w:pPr>
            <w:r w:rsidRPr="0008408A">
              <w:rPr>
                <w:rFonts w:cs="Arial"/>
                <w:sz w:val="22"/>
                <w:szCs w:val="22"/>
              </w:rPr>
              <w:t>Denmark</w:t>
            </w:r>
          </w:p>
        </w:tc>
        <w:tc>
          <w:tcPr>
            <w:tcW w:w="982" w:type="dxa"/>
          </w:tcPr>
          <w:p w14:paraId="69C2A4D3" w14:textId="77777777" w:rsidR="0008408A" w:rsidRPr="0008408A" w:rsidRDefault="0008408A" w:rsidP="0008408A">
            <w:pPr>
              <w:rPr>
                <w:rFonts w:cs="Arial"/>
                <w:sz w:val="22"/>
                <w:szCs w:val="22"/>
              </w:rPr>
            </w:pPr>
            <w:r w:rsidRPr="0008408A">
              <w:rPr>
                <w:rFonts w:cs="Arial"/>
                <w:sz w:val="22"/>
                <w:szCs w:val="22"/>
              </w:rPr>
              <w:t>2015</w:t>
            </w:r>
          </w:p>
        </w:tc>
        <w:tc>
          <w:tcPr>
            <w:tcW w:w="1417" w:type="dxa"/>
          </w:tcPr>
          <w:p w14:paraId="6B3A1EFF" w14:textId="77777777" w:rsidR="0008408A" w:rsidRPr="0008408A" w:rsidRDefault="0008408A" w:rsidP="0008408A">
            <w:pPr>
              <w:rPr>
                <w:rFonts w:cs="Arial"/>
                <w:sz w:val="22"/>
                <w:szCs w:val="22"/>
              </w:rPr>
            </w:pPr>
            <w:r w:rsidRPr="0008408A">
              <w:rPr>
                <w:rFonts w:cs="Arial"/>
                <w:sz w:val="22"/>
                <w:szCs w:val="22"/>
              </w:rPr>
              <w:t>139</w:t>
            </w:r>
          </w:p>
        </w:tc>
        <w:tc>
          <w:tcPr>
            <w:tcW w:w="1701" w:type="dxa"/>
          </w:tcPr>
          <w:p w14:paraId="2FC40F81" w14:textId="77777777" w:rsidR="0008408A" w:rsidRPr="0008408A" w:rsidRDefault="0008408A" w:rsidP="0008408A">
            <w:pPr>
              <w:rPr>
                <w:rFonts w:cs="Arial"/>
                <w:sz w:val="22"/>
                <w:szCs w:val="22"/>
              </w:rPr>
            </w:pPr>
            <w:r w:rsidRPr="0008408A">
              <w:rPr>
                <w:rFonts w:cs="Arial"/>
                <w:sz w:val="22"/>
                <w:szCs w:val="22"/>
              </w:rPr>
              <w:t>4.0%</w:t>
            </w:r>
          </w:p>
        </w:tc>
        <w:tc>
          <w:tcPr>
            <w:tcW w:w="1843" w:type="dxa"/>
          </w:tcPr>
          <w:p w14:paraId="0F938CE0" w14:textId="77777777" w:rsidR="0008408A" w:rsidRPr="0008408A" w:rsidRDefault="0008408A" w:rsidP="0008408A">
            <w:pPr>
              <w:rPr>
                <w:rFonts w:cs="Arial"/>
                <w:sz w:val="22"/>
                <w:szCs w:val="22"/>
              </w:rPr>
            </w:pPr>
            <w:r w:rsidRPr="0008408A">
              <w:rPr>
                <w:rFonts w:cs="Arial"/>
                <w:sz w:val="22"/>
                <w:szCs w:val="22"/>
              </w:rPr>
              <w:t>2.5</w:t>
            </w:r>
          </w:p>
        </w:tc>
        <w:tc>
          <w:tcPr>
            <w:tcW w:w="1701" w:type="dxa"/>
          </w:tcPr>
          <w:p w14:paraId="2A902C04" w14:textId="77777777" w:rsidR="0008408A" w:rsidRPr="0008408A" w:rsidRDefault="0008408A" w:rsidP="0008408A">
            <w:pPr>
              <w:keepNext/>
              <w:rPr>
                <w:rFonts w:cs="Arial"/>
                <w:sz w:val="22"/>
                <w:szCs w:val="22"/>
              </w:rPr>
            </w:pPr>
            <w:r w:rsidRPr="0008408A">
              <w:rPr>
                <w:rFonts w:cs="Arial"/>
                <w:sz w:val="22"/>
                <w:szCs w:val="22"/>
              </w:rPr>
              <w:t>3.1</w:t>
            </w:r>
          </w:p>
        </w:tc>
      </w:tr>
    </w:tbl>
    <w:p w14:paraId="1CE0EBC0" w14:textId="77777777" w:rsidR="000E57F5" w:rsidRDefault="000E57F5" w:rsidP="0008408A">
      <w:pPr>
        <w:spacing w:after="200" w:line="240" w:lineRule="auto"/>
        <w:jc w:val="both"/>
        <w:rPr>
          <w:rFonts w:eastAsia="Times New Roman"/>
          <w:b/>
          <w:bCs/>
          <w:sz w:val="22"/>
          <w:szCs w:val="22"/>
        </w:rPr>
      </w:pPr>
      <w:bookmarkStart w:id="8" w:name="_Ref431365980"/>
    </w:p>
    <w:p w14:paraId="7BC0DE37" w14:textId="77777777" w:rsidR="0008408A" w:rsidRPr="000E57F5" w:rsidRDefault="0008408A" w:rsidP="0008408A">
      <w:pPr>
        <w:spacing w:after="200" w:line="240" w:lineRule="auto"/>
        <w:jc w:val="both"/>
        <w:rPr>
          <w:rFonts w:eastAsia="Times New Roman"/>
          <w:b/>
          <w:bCs/>
          <w:sz w:val="22"/>
          <w:szCs w:val="22"/>
        </w:rPr>
      </w:pPr>
      <w:proofErr w:type="gramStart"/>
      <w:r w:rsidRPr="000E57F5">
        <w:rPr>
          <w:rFonts w:eastAsia="Times New Roman"/>
          <w:b/>
          <w:bCs/>
          <w:sz w:val="22"/>
          <w:szCs w:val="22"/>
        </w:rPr>
        <w:t xml:space="preserve">Table </w:t>
      </w:r>
      <w:proofErr w:type="gramEnd"/>
      <w:r w:rsidRPr="000E57F5">
        <w:rPr>
          <w:rFonts w:eastAsia="Times New Roman"/>
          <w:b/>
          <w:bCs/>
          <w:sz w:val="22"/>
          <w:szCs w:val="22"/>
        </w:rPr>
        <w:fldChar w:fldCharType="begin"/>
      </w:r>
      <w:r w:rsidRPr="000E57F5">
        <w:rPr>
          <w:rFonts w:eastAsia="Times New Roman"/>
          <w:b/>
          <w:bCs/>
          <w:sz w:val="22"/>
          <w:szCs w:val="22"/>
        </w:rPr>
        <w:instrText xml:space="preserve"> SEQ Table \* ARABIC </w:instrText>
      </w:r>
      <w:r w:rsidRPr="000E57F5">
        <w:rPr>
          <w:rFonts w:eastAsia="Times New Roman"/>
          <w:b/>
          <w:bCs/>
          <w:sz w:val="22"/>
          <w:szCs w:val="22"/>
        </w:rPr>
        <w:fldChar w:fldCharType="separate"/>
      </w:r>
      <w:r w:rsidR="00246821">
        <w:rPr>
          <w:rFonts w:eastAsia="Times New Roman"/>
          <w:b/>
          <w:bCs/>
          <w:noProof/>
          <w:sz w:val="22"/>
          <w:szCs w:val="22"/>
        </w:rPr>
        <w:t>1</w:t>
      </w:r>
      <w:r w:rsidRPr="000E57F5">
        <w:rPr>
          <w:rFonts w:eastAsia="Times New Roman"/>
          <w:b/>
          <w:bCs/>
          <w:sz w:val="22"/>
          <w:szCs w:val="22"/>
        </w:rPr>
        <w:fldChar w:fldCharType="end"/>
      </w:r>
      <w:bookmarkEnd w:id="8"/>
      <w:proofErr w:type="gramStart"/>
      <w:r w:rsidRPr="000E57F5">
        <w:rPr>
          <w:rFonts w:eastAsia="Times New Roman"/>
          <w:b/>
          <w:bCs/>
          <w:sz w:val="22"/>
          <w:szCs w:val="22"/>
        </w:rPr>
        <w:t>.</w:t>
      </w:r>
      <w:proofErr w:type="gramEnd"/>
      <w:r w:rsidRPr="000E57F5">
        <w:rPr>
          <w:rFonts w:eastAsia="Times New Roman"/>
          <w:b/>
          <w:bCs/>
          <w:sz w:val="22"/>
          <w:szCs w:val="22"/>
        </w:rPr>
        <w:t xml:space="preserve"> World Female Prison Population Rates 2015 (compiled for selected countries from data available on the ICPS World Prison Brief website August 2015</w:t>
      </w:r>
      <w:r w:rsidRPr="000E57F5">
        <w:rPr>
          <w:rFonts w:eastAsia="Times New Roman"/>
          <w:b/>
          <w:bCs/>
          <w:sz w:val="22"/>
          <w:szCs w:val="22"/>
          <w:vertAlign w:val="superscript"/>
        </w:rPr>
        <w:endnoteReference w:id="10"/>
      </w:r>
      <w:r w:rsidRPr="000E57F5">
        <w:rPr>
          <w:rFonts w:eastAsia="Times New Roman"/>
          <w:b/>
          <w:bCs/>
          <w:sz w:val="22"/>
          <w:szCs w:val="22"/>
        </w:rPr>
        <w:t>)</w:t>
      </w:r>
      <w:r w:rsidRPr="000E57F5">
        <w:rPr>
          <w:rFonts w:eastAsia="Times New Roman"/>
          <w:bCs/>
          <w:sz w:val="22"/>
          <w:szCs w:val="22"/>
          <w:vertAlign w:val="superscript"/>
        </w:rPr>
        <w:t xml:space="preserve"> </w:t>
      </w:r>
      <w:r w:rsidRPr="000E57F5">
        <w:rPr>
          <w:rFonts w:eastAsia="Times New Roman"/>
          <w:bCs/>
          <w:sz w:val="22"/>
          <w:szCs w:val="22"/>
          <w:vertAlign w:val="superscript"/>
        </w:rPr>
        <w:footnoteReference w:id="3"/>
      </w:r>
    </w:p>
    <w:p w14:paraId="3119F066" w14:textId="77777777" w:rsidR="008A37EC" w:rsidRPr="008A37EC" w:rsidRDefault="008A37EC" w:rsidP="0010717A">
      <w:pPr>
        <w:pStyle w:val="Heading2blue"/>
        <w:rPr>
          <w:rFonts w:eastAsiaTheme="majorEastAsia"/>
        </w:rPr>
      </w:pPr>
      <w:bookmarkStart w:id="9" w:name="_Toc429555800"/>
      <w:r w:rsidRPr="008A37EC">
        <w:rPr>
          <w:rFonts w:eastAsiaTheme="majorEastAsia"/>
        </w:rPr>
        <w:t>The female prison population in Scotland</w:t>
      </w:r>
      <w:bookmarkEnd w:id="9"/>
    </w:p>
    <w:p w14:paraId="4B283BD1" w14:textId="77777777" w:rsidR="008A37EC" w:rsidRPr="008A37EC" w:rsidRDefault="008A37EC" w:rsidP="00402D02">
      <w:pPr>
        <w:pStyle w:val="SGBodytext"/>
      </w:pPr>
      <w:r w:rsidRPr="008A37EC">
        <w:t>The (average daily) female prison population</w:t>
      </w:r>
      <w:r w:rsidR="00585DEC">
        <w:t xml:space="preserve"> in Scotland is approximately 40</w:t>
      </w:r>
      <w:r w:rsidRPr="008A37EC">
        <w:t>0</w:t>
      </w:r>
      <w:r w:rsidR="00A70EA4">
        <w:rPr>
          <w:rStyle w:val="FootnoteReference"/>
        </w:rPr>
        <w:footnoteReference w:id="4"/>
      </w:r>
      <w:r w:rsidR="00A70EA4">
        <w:t>, wi</w:t>
      </w:r>
      <w:r w:rsidRPr="008A37EC">
        <w:t>th about 3</w:t>
      </w:r>
      <w:r w:rsidR="00E11691">
        <w:t>15</w:t>
      </w:r>
      <w:r w:rsidRPr="008A37EC">
        <w:t xml:space="preserve"> sentenced prisoners and </w:t>
      </w:r>
      <w:r w:rsidR="00250FFD">
        <w:t>approximately 85</w:t>
      </w:r>
      <w:r w:rsidRPr="008A37EC">
        <w:t xml:space="preserve"> on remand.  </w:t>
      </w:r>
    </w:p>
    <w:p w14:paraId="618B94B2" w14:textId="77777777" w:rsidR="008A37EC" w:rsidRPr="008A37EC" w:rsidRDefault="008A37EC" w:rsidP="00402D02">
      <w:pPr>
        <w:pStyle w:val="SGBodytext"/>
      </w:pPr>
      <w:r w:rsidRPr="008A37EC">
        <w:t>The female prison population represents approximately 5.5% of the total prison population</w:t>
      </w:r>
      <w:r w:rsidRPr="008A37EC">
        <w:rPr>
          <w:vertAlign w:val="superscript"/>
        </w:rPr>
        <w:endnoteReference w:id="11"/>
      </w:r>
      <w:r w:rsidRPr="008A37EC">
        <w:t xml:space="preserve">.  The number of female prisoners, however, is growing at a faster rate than their male counterparts, and the number of female offenders in Scottish prisons has practically doubled over the past ten years.   </w:t>
      </w:r>
    </w:p>
    <w:p w14:paraId="42D44D5A" w14:textId="77777777" w:rsidR="008A37EC" w:rsidRPr="008A37EC" w:rsidRDefault="008A37EC" w:rsidP="00402D02">
      <w:pPr>
        <w:pStyle w:val="SGBodytext"/>
      </w:pPr>
      <w:r w:rsidRPr="008A37EC">
        <w:t>In terms of throughput, there are about 3000 receptions to prisons per annum, of which almost two thirds are for remand</w:t>
      </w:r>
      <w:r w:rsidRPr="008A37EC">
        <w:rPr>
          <w:vertAlign w:val="superscript"/>
        </w:rPr>
        <w:footnoteReference w:id="5"/>
      </w:r>
      <w:r w:rsidRPr="008A37EC">
        <w:t xml:space="preserve">.  </w:t>
      </w:r>
      <w:r w:rsidRPr="008A37EC">
        <w:tab/>
      </w:r>
      <w:r w:rsidRPr="008A37EC">
        <w:tab/>
      </w:r>
    </w:p>
    <w:p w14:paraId="65A8439E" w14:textId="77777777" w:rsidR="008A37EC" w:rsidRPr="008A37EC" w:rsidRDefault="008A37EC" w:rsidP="0010717A">
      <w:pPr>
        <w:pStyle w:val="Heading2blue"/>
        <w:rPr>
          <w:rFonts w:eastAsiaTheme="majorEastAsia"/>
        </w:rPr>
      </w:pPr>
      <w:bookmarkStart w:id="10" w:name="_Toc429555801"/>
      <w:r w:rsidRPr="008A37EC">
        <w:rPr>
          <w:rFonts w:eastAsiaTheme="majorEastAsia"/>
        </w:rPr>
        <w:t>Crime type</w:t>
      </w:r>
      <w:bookmarkEnd w:id="10"/>
    </w:p>
    <w:p w14:paraId="03370102" w14:textId="77777777" w:rsidR="008A37EC" w:rsidRPr="008A37EC" w:rsidRDefault="008A37EC" w:rsidP="00402D02">
      <w:pPr>
        <w:pStyle w:val="SGBodytext"/>
      </w:pPr>
      <w:r w:rsidRPr="008A37EC">
        <w:t>It is commonly reported that women tend to commit economically-motivated crimes (e.g. to support drug use or cope with poverty)</w:t>
      </w:r>
      <w:r w:rsidRPr="008A37EC">
        <w:rPr>
          <w:vertAlign w:val="superscript"/>
        </w:rPr>
        <w:t xml:space="preserve"> </w:t>
      </w:r>
      <w:r w:rsidRPr="008A37EC">
        <w:t>which are often of an acquisitive nature</w:t>
      </w:r>
      <w:r w:rsidR="00EE636D">
        <w:t>,</w:t>
      </w:r>
      <w:r w:rsidRPr="008A37EC">
        <w:t xml:space="preserve"> e.g. shoplifting</w:t>
      </w:r>
      <w:r w:rsidRPr="008A37EC">
        <w:rPr>
          <w:vertAlign w:val="superscript"/>
        </w:rPr>
        <w:endnoteReference w:id="12"/>
      </w:r>
      <w:r w:rsidRPr="008A37EC">
        <w:rPr>
          <w:vertAlign w:val="superscript"/>
        </w:rPr>
        <w:t>,</w:t>
      </w:r>
      <w:r w:rsidRPr="008A37EC">
        <w:rPr>
          <w:vertAlign w:val="superscript"/>
        </w:rPr>
        <w:endnoteReference w:id="13"/>
      </w:r>
      <w:r w:rsidRPr="008A37EC">
        <w:t xml:space="preserve">.  Recent Scottish Government analysis of prison population data suggests that although low-level crimes (such as shoplifting, common assault, bail offences and breach of the peace) account for the majority (79%) of convicted crimes resulting in a prison sentence,  of the </w:t>
      </w:r>
      <w:r w:rsidR="00284F0C" w:rsidRPr="008A37EC">
        <w:t>3</w:t>
      </w:r>
      <w:r w:rsidR="00284F0C">
        <w:t>15</w:t>
      </w:r>
      <w:r w:rsidR="00284F0C" w:rsidRPr="008A37EC">
        <w:t xml:space="preserve"> </w:t>
      </w:r>
      <w:r w:rsidRPr="008A37EC">
        <w:t>sentenced prisoners, serious violent crime and drugs offences account for nearly 50% of the population (but only 15% of convictions) .  This is because of different lengths of sentences, meaning that those serving longer sentences (for serious crimes) make up more of the average daily prison population</w:t>
      </w:r>
      <w:r w:rsidR="00250FFD">
        <w:t xml:space="preserve"> </w:t>
      </w:r>
      <w:r w:rsidRPr="008A37EC">
        <w:t>(see</w:t>
      </w:r>
      <w:r w:rsidRPr="000E57F5">
        <w:rPr>
          <w:b/>
        </w:rPr>
        <w:t xml:space="preserve"> </w:t>
      </w:r>
      <w:r w:rsidR="001C5FB5" w:rsidRPr="000E57F5">
        <w:rPr>
          <w:b/>
        </w:rPr>
        <w:fldChar w:fldCharType="begin"/>
      </w:r>
      <w:r w:rsidR="001C5FB5" w:rsidRPr="000E57F5">
        <w:rPr>
          <w:b/>
        </w:rPr>
        <w:instrText xml:space="preserve"> REF _Ref424199031 \h </w:instrText>
      </w:r>
      <w:r w:rsidR="004C438F">
        <w:rPr>
          <w:b/>
        </w:rPr>
        <w:instrText xml:space="preserve"> \* MERGEFORMAT </w:instrText>
      </w:r>
      <w:r w:rsidR="001C5FB5" w:rsidRPr="000E57F5">
        <w:rPr>
          <w:b/>
        </w:rPr>
      </w:r>
      <w:r w:rsidR="001C5FB5" w:rsidRPr="000E57F5">
        <w:rPr>
          <w:b/>
        </w:rPr>
        <w:fldChar w:fldCharType="separate"/>
      </w:r>
      <w:r w:rsidR="00246821" w:rsidRPr="00246821">
        <w:rPr>
          <w:b/>
        </w:rPr>
        <w:t>Figure 1</w:t>
      </w:r>
      <w:r w:rsidR="001C5FB5" w:rsidRPr="000E57F5">
        <w:rPr>
          <w:b/>
        </w:rPr>
        <w:fldChar w:fldCharType="end"/>
      </w:r>
      <w:r w:rsidRPr="008A37EC">
        <w:t>).</w:t>
      </w:r>
    </w:p>
    <w:p w14:paraId="702E5FD2" w14:textId="77777777" w:rsidR="008A37EC" w:rsidRPr="000102BD" w:rsidRDefault="008A37EC" w:rsidP="00402D02">
      <w:pPr>
        <w:pStyle w:val="SGBodytext"/>
      </w:pPr>
    </w:p>
    <w:p w14:paraId="3E1F010A" w14:textId="77777777" w:rsidR="00284F0C" w:rsidRPr="00EB29FB" w:rsidRDefault="000E57F5" w:rsidP="00EB29FB">
      <w:r w:rsidRPr="000102BD">
        <w:rPr>
          <w:noProof/>
          <w:lang w:eastAsia="en-GB"/>
        </w:rPr>
        <w:lastRenderedPageBreak/>
        <mc:AlternateContent>
          <mc:Choice Requires="wps">
            <w:drawing>
              <wp:anchor distT="0" distB="0" distL="114300" distR="114300" simplePos="0" relativeHeight="251673600" behindDoc="0" locked="0" layoutInCell="1" allowOverlap="1" wp14:anchorId="2C950D12" wp14:editId="6D232468">
                <wp:simplePos x="0" y="0"/>
                <wp:positionH relativeFrom="column">
                  <wp:posOffset>0</wp:posOffset>
                </wp:positionH>
                <wp:positionV relativeFrom="paragraph">
                  <wp:posOffset>3522345</wp:posOffset>
                </wp:positionV>
                <wp:extent cx="6121400" cy="337185"/>
                <wp:effectExtent l="0" t="0" r="0" b="5715"/>
                <wp:wrapNone/>
                <wp:docPr id="2" name="Text Box 2"/>
                <wp:cNvGraphicFramePr/>
                <a:graphic xmlns:a="http://schemas.openxmlformats.org/drawingml/2006/main">
                  <a:graphicData uri="http://schemas.microsoft.com/office/word/2010/wordprocessingShape">
                    <wps:wsp>
                      <wps:cNvSpPr txBox="1"/>
                      <wps:spPr>
                        <a:xfrm>
                          <a:off x="0" y="0"/>
                          <a:ext cx="6121400" cy="337185"/>
                        </a:xfrm>
                        <a:prstGeom prst="rect">
                          <a:avLst/>
                        </a:prstGeom>
                        <a:solidFill>
                          <a:prstClr val="white"/>
                        </a:solidFill>
                        <a:ln>
                          <a:noFill/>
                        </a:ln>
                        <a:effectLst/>
                      </wps:spPr>
                      <wps:txbx>
                        <w:txbxContent>
                          <w:p w14:paraId="0FD229D4" w14:textId="77777777" w:rsidR="00CD076F" w:rsidRPr="005C551E" w:rsidRDefault="00CD076F" w:rsidP="001C5FB5">
                            <w:pPr>
                              <w:pStyle w:val="Caption"/>
                              <w:rPr>
                                <w:rFonts w:eastAsia="Times New Roman" w:cs="Arial"/>
                                <w:noProof/>
                                <w:sz w:val="24"/>
                                <w:szCs w:val="24"/>
                              </w:rPr>
                            </w:pPr>
                            <w:bookmarkStart w:id="11" w:name="_Ref424199031"/>
                            <w:r>
                              <w:t xml:space="preserve">Figure </w:t>
                            </w:r>
                            <w:r>
                              <w:fldChar w:fldCharType="begin"/>
                            </w:r>
                            <w:r>
                              <w:instrText xml:space="preserve"> SEQ Figure \* ARABIC </w:instrText>
                            </w:r>
                            <w:r>
                              <w:fldChar w:fldCharType="separate"/>
                            </w:r>
                            <w:r w:rsidR="00246821">
                              <w:rPr>
                                <w:noProof/>
                              </w:rPr>
                              <w:t>1</w:t>
                            </w:r>
                            <w:r>
                              <w:fldChar w:fldCharType="end"/>
                            </w:r>
                            <w:bookmarkEnd w:id="11"/>
                            <w:r>
                              <w:t xml:space="preserve"> - Female Prison Population by Crime Type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0;margin-top:277.35pt;width:482pt;height:26.5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kn9RUMwIAAG4EAAAOAAAAZHJzL2Uyb0RvYy54bWysVMFu2zAMvQ/YPwi6L07SrSuMOEWWIsOA oi2QDD0rshwLkEWNUmJnXz9KttOu22nYRaFI6tF8j8zitmsMOyn0GmzBZ5MpZ8pKKLU9FPz7bvPh hjMfhC2FAasKflae3y7fv1u0LldzqMGUChmBWJ+3ruB1CC7PMi9r1Qg/AacsBSvARgS64iErUbSE 3phsPp1eZy1g6RCk8p68d32QLxN+VSkZHqvKq8BMwenbQjoxnft4ZsuFyA8oXK3l8BniH76iEdpS 0QvUnQiCHVH/AdVoieChChMJTQZVpaVKPVA3s+mbbra1cCr1QuR4d6HJ/z9Y+XB6QqbLgs85s6Ih iXaqC+wLdGwe2Wmdzylp6ygtdOQmlUe/J2dsuquwib/UDqM48Xy+cBvBJDmvZ/PZxymFJMWurj7P bj5FmOzltUMfvipoWDQKjqRdolSc7n3oU8eUWMyD0eVGGxMvMbA2yE6CdG5rHdQA/luWsTHXQnzV A/YelQZlqBIb7huLVuj23cDCHsozkYDQD5F3cqOp7L3w4UkgTQ01R5sQHumoDLQFh8HirAb8+Td/ zCcxKcpZS1NYcP/jKFBxZr5ZkjmO7GjgaOxHwx6bNVDDM9oxJ5NJDzCY0awQmmdakFWsQiFhJdUq eBjNdeh3gRZMqtUqJdFgOhHu7dbJCD3Su+ueBbpBnECyPsA4nyJ/o1Gfm1Ryq2MgwpOAkdCeRRI+ Xmio0wgMCxi35vU9Zb38TSx/AQAA//8DAFBLAwQUAAYACAAAACEA3RYcfOAAAAAIAQAADwAAAGRy cy9kb3ducmV2LnhtbEyPwU7DMBBE70j8g7VIXBB1gDQtIZuqquBALxWhF25u7MaBeB3FThv+nuUE x9lZzbwpVpPrxMkMofWEcDdLQBiqvW6pQdi/v9wuQYSoSKvOk0H4NgFW5eVFoXLtz/RmTlVsBIdQ yBWCjbHPpQy1NU6Fme8NsXf0g1OR5dBIPagzh7tO3idJJp1qiRus6s3GmvqrGh3CLv3Y2Zvx+Lxd pw/D637cZJ9NhXh9Na2fQEQzxb9n+MVndCiZ6eBH0kF0CDwkIszn6QIE249ZypcDQpYsliDLQv4f UP4AAAD//wMAUEsBAi0AFAAGAAgAAAAhALaDOJL+AAAA4QEAABMAAAAAAAAAAAAAAAAAAAAAAFtD b250ZW50X1R5cGVzXS54bWxQSwECLQAUAAYACAAAACEAOP0h/9YAAACUAQAACwAAAAAAAAAAAAAA AAAvAQAAX3JlbHMvLnJlbHNQSwECLQAUAAYACAAAACEAJJ/UVDMCAABuBAAADgAAAAAAAAAAAAAA AAAuAgAAZHJzL2Uyb0RvYy54bWxQSwECLQAUAAYACAAAACEA3RYcfOAAAAAIAQAADwAAAAAAAAAA AAAAAACNBAAAZHJzL2Rvd25yZXYueG1sUEsFBgAAAAAEAAQA8wAAAJoFAAAAAA== " stroked="f">
                <v:textbox style="mso-fit-shape-to-text:t" inset="0,0,0,0">
                  <w:txbxContent>
                    <w:p w14:paraId="0FD229D4" w14:textId="77777777" w:rsidR="00CD076F" w:rsidRPr="005C551E" w:rsidRDefault="00CD076F" w:rsidP="001C5FB5">
                      <w:pPr>
                        <w:pStyle w:val="Caption"/>
                        <w:rPr>
                          <w:rFonts w:eastAsia="Times New Roman" w:cs="Arial"/>
                          <w:noProof/>
                          <w:sz w:val="24"/>
                          <w:szCs w:val="24"/>
                        </w:rPr>
                      </w:pPr>
                      <w:bookmarkStart w:id="12" w:name="_Ref424199031"/>
                      <w:r>
                        <w:t xml:space="preserve">Figure </w:t>
                      </w:r>
                      <w:r>
                        <w:fldChar w:fldCharType="begin"/>
                      </w:r>
                      <w:r>
                        <w:instrText xml:space="preserve"> SEQ Figure \* ARABIC </w:instrText>
                      </w:r>
                      <w:r>
                        <w:fldChar w:fldCharType="separate"/>
                      </w:r>
                      <w:r w:rsidR="00246821">
                        <w:rPr>
                          <w:noProof/>
                        </w:rPr>
                        <w:t>1</w:t>
                      </w:r>
                      <w:r>
                        <w:fldChar w:fldCharType="end"/>
                      </w:r>
                      <w:bookmarkEnd w:id="12"/>
                      <w:r>
                        <w:t xml:space="preserve"> - Female Prison Population by Crime Type</w:t>
                      </w:r>
                    </w:p>
                  </w:txbxContent>
                </v:textbox>
              </v:shape>
            </w:pict>
          </mc:Fallback>
        </mc:AlternateContent>
      </w:r>
      <w:r w:rsidRPr="008A37EC">
        <w:rPr>
          <w:rFonts w:eastAsia="Times New Roman" w:cs="Arial"/>
          <w:noProof/>
          <w:sz w:val="24"/>
          <w:szCs w:val="24"/>
          <w:lang w:eastAsia="en-GB"/>
        </w:rPr>
        <w:drawing>
          <wp:anchor distT="0" distB="0" distL="114300" distR="114300" simplePos="0" relativeHeight="251658240" behindDoc="0" locked="0" layoutInCell="1" allowOverlap="1" wp14:anchorId="7838A4CF" wp14:editId="3017A34B">
            <wp:simplePos x="0" y="0"/>
            <wp:positionH relativeFrom="column">
              <wp:posOffset>6985</wp:posOffset>
            </wp:positionH>
            <wp:positionV relativeFrom="paragraph">
              <wp:posOffset>-200660</wp:posOffset>
            </wp:positionV>
            <wp:extent cx="5631815" cy="3673475"/>
            <wp:effectExtent l="0" t="0" r="6985" b="3175"/>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31815" cy="36734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77AFE1" w14:textId="77777777" w:rsidR="000E57F5" w:rsidRDefault="000E57F5" w:rsidP="0010717A">
      <w:pPr>
        <w:pStyle w:val="Heading2blue"/>
        <w:rPr>
          <w:rFonts w:eastAsiaTheme="majorEastAsia"/>
        </w:rPr>
      </w:pPr>
      <w:bookmarkStart w:id="13" w:name="_Toc429555802"/>
    </w:p>
    <w:p w14:paraId="78A31D02" w14:textId="77777777" w:rsidR="000E57F5" w:rsidRDefault="000E57F5" w:rsidP="0010717A">
      <w:pPr>
        <w:pStyle w:val="Heading2blue"/>
        <w:rPr>
          <w:rFonts w:eastAsiaTheme="majorEastAsia"/>
        </w:rPr>
      </w:pPr>
    </w:p>
    <w:p w14:paraId="249CC080" w14:textId="77777777" w:rsidR="008A37EC" w:rsidRPr="008A37EC" w:rsidRDefault="00072B27" w:rsidP="0010717A">
      <w:pPr>
        <w:pStyle w:val="Heading2blue"/>
        <w:rPr>
          <w:rFonts w:eastAsiaTheme="majorEastAsia"/>
        </w:rPr>
      </w:pPr>
      <w:r>
        <w:rPr>
          <w:rFonts w:eastAsiaTheme="majorEastAsia"/>
        </w:rPr>
        <w:t>Sentence l</w:t>
      </w:r>
      <w:r w:rsidR="008A37EC" w:rsidRPr="008A37EC">
        <w:rPr>
          <w:rFonts w:eastAsiaTheme="majorEastAsia"/>
        </w:rPr>
        <w:t>ength</w:t>
      </w:r>
      <w:bookmarkEnd w:id="13"/>
    </w:p>
    <w:p w14:paraId="2C91C232" w14:textId="77777777" w:rsidR="008A37EC" w:rsidRPr="008A37EC" w:rsidRDefault="008A37EC" w:rsidP="00402D02">
      <w:pPr>
        <w:pStyle w:val="SGBodytext"/>
      </w:pPr>
      <w:r w:rsidRPr="008A37EC">
        <w:t>Of those sentenced to custody in 2013-14, 76%</w:t>
      </w:r>
      <w:r w:rsidRPr="008A37EC">
        <w:rPr>
          <w:b/>
        </w:rPr>
        <w:t xml:space="preserve"> </w:t>
      </w:r>
      <w:r w:rsidRPr="008A37EC">
        <w:t>of females received a tariff of 6 months or less (compared to 66% of males)</w:t>
      </w:r>
      <w:r w:rsidRPr="008A37EC">
        <w:rPr>
          <w:vertAlign w:val="superscript"/>
        </w:rPr>
        <w:endnoteReference w:id="14"/>
      </w:r>
      <w:r w:rsidRPr="008A37EC">
        <w:t xml:space="preserve">. However, this only accounts for 10% of the sentenced female prison population.  By contrast, sentences of two years plus account for </w:t>
      </w:r>
      <w:r w:rsidR="00284F0C" w:rsidRPr="008A37EC">
        <w:t>around 50% of the prison population</w:t>
      </w:r>
      <w:r w:rsidR="00EE636D">
        <w:t>,</w:t>
      </w:r>
      <w:r w:rsidR="00284F0C" w:rsidRPr="008A37EC">
        <w:t xml:space="preserve"> </w:t>
      </w:r>
      <w:r w:rsidR="00284F0C">
        <w:t xml:space="preserve">but </w:t>
      </w:r>
      <w:r w:rsidRPr="008A37EC">
        <w:t xml:space="preserve">only 5% of sentences.  </w:t>
      </w:r>
    </w:p>
    <w:p w14:paraId="6ED3CDE1" w14:textId="77777777" w:rsidR="008A37EC" w:rsidRPr="008A37EC" w:rsidRDefault="008A37EC" w:rsidP="00402D02">
      <w:pPr>
        <w:pStyle w:val="SGBodytext"/>
      </w:pPr>
      <w:r w:rsidRPr="008A37EC">
        <w:t>There is some evidence that women are being imprisoned for longer periods; research conducted by the SCCJR (The Scottish Centre for Crime and Justice Research)</w:t>
      </w:r>
      <w:r w:rsidRPr="008A37EC">
        <w:rPr>
          <w:vertAlign w:val="superscript"/>
        </w:rPr>
        <w:endnoteReference w:id="15"/>
      </w:r>
      <w:r w:rsidRPr="008A37EC">
        <w:t xml:space="preserve"> noted a particular increase in sentences between six months and two years.  </w:t>
      </w:r>
      <w:r w:rsidR="00EE636D">
        <w:t xml:space="preserve">Similarly, </w:t>
      </w:r>
      <w:r w:rsidRPr="008A37EC">
        <w:t xml:space="preserve">Scottish Government analysis of the female prison population shows that over the past 10 years the sharpest increase in custodial convictions (by sentence length) is for sentences between six months and two years, and two years and four years.  There has also been a marked growth in remand prisoners, and to a lesser extent in sentences of four years and over.  In contrast, the proportion of short sentences resulting in a custodial sentence has remained fairly stable (see </w:t>
      </w:r>
      <w:r w:rsidR="001C5FB5" w:rsidRPr="000E57F5">
        <w:rPr>
          <w:b/>
        </w:rPr>
        <w:fldChar w:fldCharType="begin"/>
      </w:r>
      <w:r w:rsidR="001C5FB5" w:rsidRPr="000E57F5">
        <w:rPr>
          <w:b/>
        </w:rPr>
        <w:instrText xml:space="preserve"> REF _Ref424199124 \h </w:instrText>
      </w:r>
      <w:r w:rsidR="004C438F">
        <w:rPr>
          <w:b/>
        </w:rPr>
        <w:instrText xml:space="preserve"> \* MERGEFORMAT </w:instrText>
      </w:r>
      <w:r w:rsidR="001C5FB5" w:rsidRPr="000E57F5">
        <w:rPr>
          <w:b/>
        </w:rPr>
      </w:r>
      <w:r w:rsidR="001C5FB5" w:rsidRPr="000E57F5">
        <w:rPr>
          <w:b/>
        </w:rPr>
        <w:fldChar w:fldCharType="separate"/>
      </w:r>
      <w:r w:rsidR="00246821" w:rsidRPr="00246821">
        <w:rPr>
          <w:b/>
        </w:rPr>
        <w:t>Figure 2</w:t>
      </w:r>
      <w:r w:rsidR="001C5FB5" w:rsidRPr="000E57F5">
        <w:rPr>
          <w:b/>
        </w:rPr>
        <w:fldChar w:fldCharType="end"/>
      </w:r>
      <w:r w:rsidRPr="008A37EC">
        <w:t>)</w:t>
      </w:r>
      <w:r w:rsidRPr="001C5FB5">
        <w:rPr>
          <w:color w:val="17365D" w:themeColor="text2" w:themeShade="BF"/>
        </w:rPr>
        <w:t>.</w:t>
      </w:r>
    </w:p>
    <w:p w14:paraId="4E8E2926" w14:textId="77777777" w:rsidR="00FC6E02" w:rsidRDefault="00FC6E02">
      <w:pPr>
        <w:tabs>
          <w:tab w:val="clear" w:pos="720"/>
          <w:tab w:val="clear" w:pos="1440"/>
          <w:tab w:val="clear" w:pos="2160"/>
          <w:tab w:val="clear" w:pos="2880"/>
          <w:tab w:val="clear" w:pos="4680"/>
          <w:tab w:val="clear" w:pos="5400"/>
          <w:tab w:val="clear" w:pos="9000"/>
        </w:tabs>
        <w:spacing w:line="240" w:lineRule="auto"/>
      </w:pPr>
    </w:p>
    <w:p w14:paraId="3ECD6CBF" w14:textId="77777777" w:rsidR="004C438F" w:rsidRDefault="004C438F" w:rsidP="000E57F5">
      <w:pPr>
        <w:tabs>
          <w:tab w:val="clear" w:pos="720"/>
          <w:tab w:val="clear" w:pos="1440"/>
          <w:tab w:val="clear" w:pos="2160"/>
          <w:tab w:val="clear" w:pos="2880"/>
          <w:tab w:val="clear" w:pos="4680"/>
          <w:tab w:val="clear" w:pos="5400"/>
          <w:tab w:val="clear" w:pos="9000"/>
          <w:tab w:val="left" w:pos="975"/>
        </w:tabs>
        <w:spacing w:line="240" w:lineRule="auto"/>
        <w:rPr>
          <w:rFonts w:eastAsiaTheme="majorEastAsia"/>
        </w:rPr>
      </w:pPr>
      <w:bookmarkStart w:id="14" w:name="_Toc429555803"/>
      <w:r>
        <w:rPr>
          <w:noProof/>
          <w:lang w:eastAsia="en-GB"/>
        </w:rPr>
        <w:lastRenderedPageBreak/>
        <mc:AlternateContent>
          <mc:Choice Requires="wps">
            <w:drawing>
              <wp:anchor distT="0" distB="0" distL="114300" distR="114300" simplePos="0" relativeHeight="251668480" behindDoc="0" locked="0" layoutInCell="1" allowOverlap="1" wp14:anchorId="15E04519" wp14:editId="57C7832F">
                <wp:simplePos x="0" y="0"/>
                <wp:positionH relativeFrom="column">
                  <wp:posOffset>-85725</wp:posOffset>
                </wp:positionH>
                <wp:positionV relativeFrom="paragraph">
                  <wp:posOffset>3715385</wp:posOffset>
                </wp:positionV>
                <wp:extent cx="6252845" cy="337185"/>
                <wp:effectExtent l="0" t="0" r="0" b="5715"/>
                <wp:wrapNone/>
                <wp:docPr id="3" name="Text Box 3"/>
                <wp:cNvGraphicFramePr/>
                <a:graphic xmlns:a="http://schemas.openxmlformats.org/drawingml/2006/main">
                  <a:graphicData uri="http://schemas.microsoft.com/office/word/2010/wordprocessingShape">
                    <wps:wsp>
                      <wps:cNvSpPr txBox="1"/>
                      <wps:spPr>
                        <a:xfrm>
                          <a:off x="0" y="0"/>
                          <a:ext cx="6252845" cy="337185"/>
                        </a:xfrm>
                        <a:prstGeom prst="rect">
                          <a:avLst/>
                        </a:prstGeom>
                        <a:solidFill>
                          <a:prstClr val="white"/>
                        </a:solidFill>
                        <a:ln>
                          <a:noFill/>
                        </a:ln>
                        <a:effectLst/>
                      </wps:spPr>
                      <wps:txbx>
                        <w:txbxContent>
                          <w:p w14:paraId="423B7B78" w14:textId="77777777" w:rsidR="00CD076F" w:rsidRPr="005C2616" w:rsidRDefault="00CD076F" w:rsidP="001C5FB5">
                            <w:pPr>
                              <w:pStyle w:val="Caption"/>
                              <w:rPr>
                                <w:rFonts w:eastAsia="Times New Roman" w:cs="Arial"/>
                                <w:noProof/>
                                <w:sz w:val="24"/>
                                <w:szCs w:val="24"/>
                              </w:rPr>
                            </w:pPr>
                            <w:bookmarkStart w:id="15" w:name="_Ref424199124"/>
                            <w:r>
                              <w:t xml:space="preserve">Figure </w:t>
                            </w:r>
                            <w:r>
                              <w:fldChar w:fldCharType="begin"/>
                            </w:r>
                            <w:r>
                              <w:instrText xml:space="preserve"> SEQ Figure \* ARABIC </w:instrText>
                            </w:r>
                            <w:r>
                              <w:fldChar w:fldCharType="separate"/>
                            </w:r>
                            <w:r w:rsidR="00246821">
                              <w:rPr>
                                <w:noProof/>
                              </w:rPr>
                              <w:t>2</w:t>
                            </w:r>
                            <w:r>
                              <w:fldChar w:fldCharType="end"/>
                            </w:r>
                            <w:bookmarkEnd w:id="15"/>
                            <w:r>
                              <w:t xml:space="preserve"> - Female Prison Population by Sentence Length</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3" o:spid="_x0000_s1027" type="#_x0000_t202" style="position:absolute;margin-left:-6.75pt;margin-top:292.55pt;width:492.35pt;height:26.5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59qeNgIAAHUEAAAOAAAAZHJzL2Uyb0RvYy54bWysVE2P2jAQvVfqf7B8L+GjbFFEWFFWVJXQ 7kpQ7dk4DrFke1zbkNBf37GTsO22p6oXM54Zv8m8N8PyvtWKXITzEkxBJ6MxJcJwKKU5FfTbYfth QYkPzJRMgREFvQpP71fv3y0bm4sp1KBK4QiCGJ83tqB1CDbPMs9roZkfgRUGgxU4zQJe3SkrHWsQ XatsOh7fZQ240jrgwnv0PnRBukr4VSV4eKoqLwJRBcVvC+l06TzGM1stWX5yzNaS95/B/uErNJMG i96gHlhg5OzkH1BacgceqjDioDOoKslF6gG7mYzfdLOvmRWpFyTH2xtN/v/B8sfLsyOyLOiMEsM0 SnQQbSCfoSWzyE5jfY5Je4tpoUU3qjz4PTpj023ldPzFdgjGkefrjdsIxtF5N51PFx/nlHCMzWaf Jot5hMleX1vnwxcBmkSjoA61S5Syy86HLnVIicU8KFlupVLxEgMb5ciFoc5NLYPowX/LUibmGoiv OsDOI9Kg9FViw11j0QrtsU303Jo+QnlFLhx0s+Qt30qsvmM+PDOHw4Pt40KEJzwqBU1BobcoqcH9 +Js/5qOmGKWkwWEsqP9+Zk5Qor4aVDtO7mC4wTgOhjnrDWDfE1w1y5OJD1xQg1k50C+4J+tYBUPM cKxV0DCYm9CtBO4ZF+t1SsL5tCzszN7yCD2wfGhfmLO9RgHVfYRhTFn+RqouN4ll1+eAvCcdI68d i6h/vOBsp0no9zAuz6/3lPX6b7H6CQAA//8DAFBLAwQUAAYACAAAACEALEw49uMAAAALAQAADwAA AGRycy9kb3ducmV2LnhtbEyPPU/DMBRFdyT+g/WQWFDrfDQhDXGqqoIBlorQpZsbu3Egfo5spw3/ HjPB+HSP7j2v2sx6IBdpXW+QQbyMgEhsjeixY3D4eFkUQJznKPhgUDL4lg429e1NxUthrvguL43v SChBV3IGyvuxpNS1SmrulmaUGLKzsZr7cNqOCsuvoVwPNIminGreY1hQfJQ7JduvZtIM9qvjXj1M 5+e37Sq1r4dpl392DWP3d/P2CYiXs/+D4Vc/qEMdnE5mQuHIwGARp1lAGWRFFgMJxPoxToCcGORp kQCtK/r/h/oHAAD//wMAUEsBAi0AFAAGAAgAAAAhALaDOJL+AAAA4QEAABMAAAAAAAAAAAAAAAAA AAAAAFtDb250ZW50X1R5cGVzXS54bWxQSwECLQAUAAYACAAAACEAOP0h/9YAAACUAQAACwAAAAAA AAAAAAAAAAAvAQAAX3JlbHMvLnJlbHNQSwECLQAUAAYACAAAACEAzufanjYCAAB1BAAADgAAAAAA AAAAAAAAAAAuAgAAZHJzL2Uyb0RvYy54bWxQSwECLQAUAAYACAAAACEALEw49uMAAAALAQAADwAA AAAAAAAAAAAAAACQBAAAZHJzL2Rvd25yZXYueG1sUEsFBgAAAAAEAAQA8wAAAKAFAAAAAA== " stroked="f">
                <v:textbox style="mso-fit-shape-to-text:t" inset="0,0,0,0">
                  <w:txbxContent>
                    <w:p w14:paraId="423B7B78" w14:textId="77777777" w:rsidR="00CD076F" w:rsidRPr="005C2616" w:rsidRDefault="00CD076F" w:rsidP="001C5FB5">
                      <w:pPr>
                        <w:pStyle w:val="Caption"/>
                        <w:rPr>
                          <w:rFonts w:eastAsia="Times New Roman" w:cs="Arial"/>
                          <w:noProof/>
                          <w:sz w:val="24"/>
                          <w:szCs w:val="24"/>
                        </w:rPr>
                      </w:pPr>
                      <w:bookmarkStart w:id="16" w:name="_Ref424199124"/>
                      <w:r>
                        <w:t xml:space="preserve">Figure </w:t>
                      </w:r>
                      <w:r>
                        <w:fldChar w:fldCharType="begin"/>
                      </w:r>
                      <w:r>
                        <w:instrText xml:space="preserve"> SEQ Figure \* ARABIC </w:instrText>
                      </w:r>
                      <w:r>
                        <w:fldChar w:fldCharType="separate"/>
                      </w:r>
                      <w:r w:rsidR="00246821">
                        <w:rPr>
                          <w:noProof/>
                        </w:rPr>
                        <w:t>2</w:t>
                      </w:r>
                      <w:r>
                        <w:fldChar w:fldCharType="end"/>
                      </w:r>
                      <w:bookmarkEnd w:id="16"/>
                      <w:r>
                        <w:t xml:space="preserve"> - Female Prison Population by Sentence Length</w:t>
                      </w:r>
                    </w:p>
                  </w:txbxContent>
                </v:textbox>
              </v:shape>
            </w:pict>
          </mc:Fallback>
        </mc:AlternateContent>
      </w:r>
      <w:r w:rsidRPr="008A37EC">
        <w:rPr>
          <w:noProof/>
          <w:lang w:eastAsia="en-GB"/>
        </w:rPr>
        <w:drawing>
          <wp:anchor distT="0" distB="0" distL="114300" distR="114300" simplePos="0" relativeHeight="251664384" behindDoc="0" locked="0" layoutInCell="1" allowOverlap="1" wp14:anchorId="1C007745" wp14:editId="58EC59B2">
            <wp:simplePos x="0" y="0"/>
            <wp:positionH relativeFrom="column">
              <wp:posOffset>-25400</wp:posOffset>
            </wp:positionH>
            <wp:positionV relativeFrom="paragraph">
              <wp:posOffset>57785</wp:posOffset>
            </wp:positionV>
            <wp:extent cx="6252845" cy="3543300"/>
            <wp:effectExtent l="0" t="0" r="0" b="0"/>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252845" cy="3543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9D1C256" w14:textId="77777777" w:rsidR="000E57F5" w:rsidRDefault="000E57F5">
      <w:pPr>
        <w:tabs>
          <w:tab w:val="clear" w:pos="720"/>
          <w:tab w:val="clear" w:pos="1440"/>
          <w:tab w:val="clear" w:pos="2160"/>
          <w:tab w:val="clear" w:pos="2880"/>
          <w:tab w:val="clear" w:pos="4680"/>
          <w:tab w:val="clear" w:pos="5400"/>
          <w:tab w:val="clear" w:pos="9000"/>
        </w:tabs>
        <w:spacing w:line="240" w:lineRule="auto"/>
        <w:rPr>
          <w:rFonts w:eastAsiaTheme="majorEastAsia"/>
        </w:rPr>
      </w:pPr>
    </w:p>
    <w:p w14:paraId="2F194D1D" w14:textId="77777777" w:rsidR="000E57F5" w:rsidRDefault="000E57F5">
      <w:pPr>
        <w:tabs>
          <w:tab w:val="clear" w:pos="720"/>
          <w:tab w:val="clear" w:pos="1440"/>
          <w:tab w:val="clear" w:pos="2160"/>
          <w:tab w:val="clear" w:pos="2880"/>
          <w:tab w:val="clear" w:pos="4680"/>
          <w:tab w:val="clear" w:pos="5400"/>
          <w:tab w:val="clear" w:pos="9000"/>
        </w:tabs>
        <w:spacing w:line="240" w:lineRule="auto"/>
        <w:rPr>
          <w:rFonts w:eastAsiaTheme="majorEastAsia"/>
          <w:b/>
          <w:color w:val="064367"/>
          <w:sz w:val="30"/>
        </w:rPr>
      </w:pPr>
    </w:p>
    <w:p w14:paraId="78B00C47" w14:textId="77777777" w:rsidR="008A37EC" w:rsidRPr="008A37EC" w:rsidRDefault="008A37EC" w:rsidP="0010717A">
      <w:pPr>
        <w:pStyle w:val="Heading2blue"/>
        <w:rPr>
          <w:rFonts w:eastAsiaTheme="majorEastAsia"/>
        </w:rPr>
      </w:pPr>
      <w:r w:rsidRPr="008A37EC">
        <w:rPr>
          <w:rFonts w:eastAsiaTheme="majorEastAsia"/>
        </w:rPr>
        <w:t>Growth in female prison population</w:t>
      </w:r>
      <w:bookmarkEnd w:id="14"/>
    </w:p>
    <w:p w14:paraId="14D3E938" w14:textId="77777777" w:rsidR="005662D8" w:rsidRDefault="005662D8" w:rsidP="00402D02">
      <w:pPr>
        <w:pStyle w:val="SGBodytext"/>
        <w:rPr>
          <w:sz w:val="23"/>
          <w:szCs w:val="23"/>
        </w:rPr>
      </w:pPr>
      <w:r w:rsidRPr="005662D8">
        <w:t>The total prison population has increased substantially since the 1990s, and has more than doubled over the past 15 years. However, there has been a slight decline in the population since 2011/12.</w:t>
      </w:r>
      <w:r>
        <w:rPr>
          <w:sz w:val="23"/>
          <w:szCs w:val="23"/>
        </w:rPr>
        <w:t xml:space="preserve">  </w:t>
      </w:r>
    </w:p>
    <w:p w14:paraId="20A6D2B3" w14:textId="77777777" w:rsidR="008A37EC" w:rsidRPr="008A37EC" w:rsidRDefault="008A37EC" w:rsidP="00402D02">
      <w:pPr>
        <w:pStyle w:val="SGBodytext"/>
      </w:pPr>
      <w:r w:rsidRPr="008A37EC">
        <w:t xml:space="preserve">The growth in the female prison population appears to have been driven by increases </w:t>
      </w:r>
      <w:r w:rsidR="006F0C6A">
        <w:t>custodial convictions for</w:t>
      </w:r>
      <w:r w:rsidRPr="008A37EC">
        <w:t xml:space="preserve"> serious violent crime, drugs offences (primarily supply), and common assault.  Crimes of dishonesty, such as shoplifting, have remained broadly </w:t>
      </w:r>
      <w:r w:rsidR="00250FFD">
        <w:t xml:space="preserve">stable </w:t>
      </w:r>
      <w:r w:rsidRPr="008A37EC">
        <w:t xml:space="preserve">(see </w:t>
      </w:r>
      <w:r w:rsidR="001C5FB5" w:rsidRPr="000E57F5">
        <w:rPr>
          <w:b/>
        </w:rPr>
        <w:fldChar w:fldCharType="begin"/>
      </w:r>
      <w:r w:rsidR="001C5FB5" w:rsidRPr="000E57F5">
        <w:rPr>
          <w:b/>
        </w:rPr>
        <w:instrText xml:space="preserve"> REF _Ref424199173 \h </w:instrText>
      </w:r>
      <w:r w:rsidR="004C438F">
        <w:rPr>
          <w:b/>
        </w:rPr>
        <w:instrText xml:space="preserve"> \* MERGEFORMAT </w:instrText>
      </w:r>
      <w:r w:rsidR="001C5FB5" w:rsidRPr="000E57F5">
        <w:rPr>
          <w:b/>
        </w:rPr>
      </w:r>
      <w:r w:rsidR="001C5FB5" w:rsidRPr="000E57F5">
        <w:rPr>
          <w:b/>
        </w:rPr>
        <w:fldChar w:fldCharType="separate"/>
      </w:r>
      <w:r w:rsidR="00246821" w:rsidRPr="00246821">
        <w:rPr>
          <w:b/>
        </w:rPr>
        <w:t>Figure 3</w:t>
      </w:r>
      <w:r w:rsidR="001C5FB5" w:rsidRPr="000E57F5">
        <w:rPr>
          <w:b/>
        </w:rPr>
        <w:fldChar w:fldCharType="end"/>
      </w:r>
      <w:r w:rsidRPr="008A37EC">
        <w:t>).  This appears to be fairly consistent with other Western countries, such as the US (and the UK as a whole) which have also seen a rise in female drug-related incarcerations.  Godin &amp; Kendall (2009</w:t>
      </w:r>
      <w:r w:rsidRPr="008A37EC">
        <w:rPr>
          <w:vertAlign w:val="superscript"/>
        </w:rPr>
        <w:endnoteReference w:id="16"/>
      </w:r>
      <w:r w:rsidRPr="008A37EC">
        <w:t xml:space="preserve">), for example, noted that in the UK, it has risen 223% between 1991 and 2001 (compared with 74% for men over the same period).  </w:t>
      </w:r>
    </w:p>
    <w:p w14:paraId="3AEDF033" w14:textId="77777777" w:rsidR="001C5FB5" w:rsidRDefault="001C5FB5" w:rsidP="00402D02">
      <w:pPr>
        <w:pStyle w:val="SGBodytext"/>
      </w:pPr>
      <w:r>
        <w:lastRenderedPageBreak/>
        <mc:AlternateContent>
          <mc:Choice Requires="wps">
            <w:drawing>
              <wp:anchor distT="0" distB="0" distL="114300" distR="114300" simplePos="0" relativeHeight="251670528" behindDoc="0" locked="0" layoutInCell="1" allowOverlap="1" wp14:anchorId="7E39F460" wp14:editId="10610A9A">
                <wp:simplePos x="0" y="0"/>
                <wp:positionH relativeFrom="column">
                  <wp:posOffset>41910</wp:posOffset>
                </wp:positionH>
                <wp:positionV relativeFrom="paragraph">
                  <wp:posOffset>3845560</wp:posOffset>
                </wp:positionV>
                <wp:extent cx="6196965" cy="337185"/>
                <wp:effectExtent l="0" t="0" r="0" b="0"/>
                <wp:wrapNone/>
                <wp:docPr id="7" name="Text Box 7"/>
                <wp:cNvGraphicFramePr/>
                <a:graphic xmlns:a="http://schemas.openxmlformats.org/drawingml/2006/main">
                  <a:graphicData uri="http://schemas.microsoft.com/office/word/2010/wordprocessingShape">
                    <wps:wsp>
                      <wps:cNvSpPr txBox="1"/>
                      <wps:spPr>
                        <a:xfrm>
                          <a:off x="0" y="0"/>
                          <a:ext cx="6196965" cy="337185"/>
                        </a:xfrm>
                        <a:prstGeom prst="rect">
                          <a:avLst/>
                        </a:prstGeom>
                        <a:solidFill>
                          <a:prstClr val="white"/>
                        </a:solidFill>
                        <a:ln>
                          <a:noFill/>
                        </a:ln>
                        <a:effectLst/>
                      </wps:spPr>
                      <wps:txbx>
                        <w:txbxContent>
                          <w:p w14:paraId="361E62C4" w14:textId="77777777" w:rsidR="00CD076F" w:rsidRPr="00ED6B0F" w:rsidRDefault="00CD076F" w:rsidP="001C5FB5">
                            <w:pPr>
                              <w:pStyle w:val="Caption"/>
                              <w:rPr>
                                <w:rFonts w:eastAsia="Times New Roman" w:cs="Arial"/>
                                <w:noProof/>
                                <w:sz w:val="24"/>
                                <w:szCs w:val="24"/>
                              </w:rPr>
                            </w:pPr>
                            <w:bookmarkStart w:id="17" w:name="_Ref424199173"/>
                            <w:r>
                              <w:t xml:space="preserve">Figure </w:t>
                            </w:r>
                            <w:r>
                              <w:fldChar w:fldCharType="begin"/>
                            </w:r>
                            <w:r>
                              <w:instrText xml:space="preserve"> SEQ Figure \* ARABIC </w:instrText>
                            </w:r>
                            <w:r>
                              <w:fldChar w:fldCharType="separate"/>
                            </w:r>
                            <w:r w:rsidR="00246821">
                              <w:rPr>
                                <w:noProof/>
                              </w:rPr>
                              <w:t>3</w:t>
                            </w:r>
                            <w:r>
                              <w:fldChar w:fldCharType="end"/>
                            </w:r>
                            <w:bookmarkEnd w:id="17"/>
                            <w:r>
                              <w:t xml:space="preserve"> - Growth in Female Prison Population by Crime Type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7" o:spid="_x0000_s1028" type="#_x0000_t202" style="position:absolute;margin-left:3.3pt;margin-top:302.8pt;width:487.95pt;height:26.55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x+KRqNwIAAHUEAAAOAAAAZHJzL2Uyb0RvYy54bWysVFFv2jAQfp+0/2D5fQSoCm1EqBgV0yTU VoKpz8ZxiCXb59mGhP36nZ2Ebt2epr2Y8935u9z33bF4aLUiZ+G8BFPQyWhMiTAcSmmOBf2233y6 o8QHZkqmwIiCXoSnD8uPHxaNzcUUalClcARBjM8bW9A6BJtnmee10MyPwAqDwQqcZgGv7piVjjWI rlU2HY9nWQOutA648B69j12QLhN+VQkenqvKi0BUQfHbQjpdOg/xzJYLlh8ds7Xk/Wewf/gKzaTB oleoRxYYOTn5B5SW3IGHKow46AyqSnKResBuJuN33exqZkXqBcnx9kqT/3+w/On84ogsCzqnxDCN Eu1FG8hnaMk8stNYn2PSzmJaaNGNKg9+j87YdFs5HX+xHYJx5Ply5TaCcXTOJvez+9ktJRxjNzfz yd1thMneXlvnwxcBmkSjoA61S5Sy89aHLnVIicU8KFlupFLxEgNr5ciZoc5NLYPowX/LUibmGoiv OsDOI9Kg9FViw11j0QrtoU30TIemD1BekAsH3Sx5yzcSq2+ZDy/M4fBg+7gQ4RmPSkFTUOgtSmpw P/7mj/moKUYpaXAYC+q/n5gTlKivBtWOkzsYbjAOg2FOeg3Y9wRXzfJk4gMX1GBWDvQr7skqVsEQ MxxrFTQM5jp0K4F7xsVqlZJwPi0LW7OzPEIPLO/bV+Zsr1FAdZ9gGFOWv5Oqy01i2dUpIO9Jx8hr xyLqHy8422kS+j2My/PrPWW9/VssfwIAAP//AwBQSwMEFAAGAAgAAAAhAEZENbXgAAAACQEAAA8A AABkcnMvZG93bnJldi54bWxMjz9PwzAQxXckvoN1SCyIOpQmDSFOVVUw0KUi7cLmxm4ciM+R7bTh 23NMMN2f9/Tud+Vqsj07ax86hwIeZgkwjY1THbYCDvvX+xxYiBKV7B1qAd86wKq6viplodwF3/W5 ji2jEAyFFGBiHArOQ2O0lWHmBo2knZy3MtLoW668vFC47fk8STJuZYd0wchBb4xuvurRCtgtPnbm bjy9bNeLR/92GDfZZ1sLcXszrZ+BRT3FPzP84hM6VMR0dCOqwHoBWUZGKklKDelP+TwFdqRNmi+B VyX//0H1AwAA//8DAFBLAQItABQABgAIAAAAIQC2gziS/gAAAOEBAAATAAAAAAAAAAAAAAAAAAAA AABbQ29udGVudF9UeXBlc10ueG1sUEsBAi0AFAAGAAgAAAAhADj9If/WAAAAlAEAAAsAAAAAAAAA AAAAAAAALwEAAF9yZWxzLy5yZWxzUEsBAi0AFAAGAAgAAAAhADH4pGo3AgAAdQQAAA4AAAAAAAAA AAAAAAAALgIAAGRycy9lMm9Eb2MueG1sUEsBAi0AFAAGAAgAAAAhAEZENbXgAAAACQEAAA8AAAAA AAAAAAAAAAAAkQQAAGRycy9kb3ducmV2LnhtbFBLBQYAAAAABAAEAPMAAACeBQAAAAA= " stroked="f">
                <v:textbox style="mso-fit-shape-to-text:t" inset="0,0,0,0">
                  <w:txbxContent>
                    <w:p w14:paraId="361E62C4" w14:textId="77777777" w:rsidR="00CD076F" w:rsidRPr="00ED6B0F" w:rsidRDefault="00CD076F" w:rsidP="001C5FB5">
                      <w:pPr>
                        <w:pStyle w:val="Caption"/>
                        <w:rPr>
                          <w:rFonts w:eastAsia="Times New Roman" w:cs="Arial"/>
                          <w:noProof/>
                          <w:sz w:val="24"/>
                          <w:szCs w:val="24"/>
                        </w:rPr>
                      </w:pPr>
                      <w:bookmarkStart w:id="18" w:name="_Ref424199173"/>
                      <w:r>
                        <w:t xml:space="preserve">Figure </w:t>
                      </w:r>
                      <w:r>
                        <w:fldChar w:fldCharType="begin"/>
                      </w:r>
                      <w:r>
                        <w:instrText xml:space="preserve"> SEQ Figure \* ARABIC </w:instrText>
                      </w:r>
                      <w:r>
                        <w:fldChar w:fldCharType="separate"/>
                      </w:r>
                      <w:r w:rsidR="00246821">
                        <w:rPr>
                          <w:noProof/>
                        </w:rPr>
                        <w:t>3</w:t>
                      </w:r>
                      <w:r>
                        <w:fldChar w:fldCharType="end"/>
                      </w:r>
                      <w:bookmarkEnd w:id="18"/>
                      <w:r>
                        <w:t xml:space="preserve"> - Growth in Female Prison Population by Crime Type</w:t>
                      </w:r>
                    </w:p>
                  </w:txbxContent>
                </v:textbox>
              </v:shape>
            </w:pict>
          </mc:Fallback>
        </mc:AlternateContent>
      </w:r>
      <w:r w:rsidRPr="008A37EC">
        <w:drawing>
          <wp:anchor distT="0" distB="0" distL="114300" distR="114300" simplePos="0" relativeHeight="251662336" behindDoc="0" locked="0" layoutInCell="1" allowOverlap="1" wp14:anchorId="75E07602" wp14:editId="3F1C102E">
            <wp:simplePos x="0" y="0"/>
            <wp:positionH relativeFrom="column">
              <wp:posOffset>41910</wp:posOffset>
            </wp:positionH>
            <wp:positionV relativeFrom="paragraph">
              <wp:posOffset>168910</wp:posOffset>
            </wp:positionV>
            <wp:extent cx="6196965" cy="3619500"/>
            <wp:effectExtent l="0" t="0" r="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96965" cy="36195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5249FD4" w14:textId="77777777" w:rsidR="001C5FB5" w:rsidRDefault="001C5FB5" w:rsidP="00402D02">
      <w:pPr>
        <w:pStyle w:val="SGBodytext"/>
      </w:pPr>
    </w:p>
    <w:p w14:paraId="791476E8" w14:textId="77777777" w:rsidR="008A37EC" w:rsidRPr="008A37EC" w:rsidRDefault="008A37EC" w:rsidP="0010717A">
      <w:pPr>
        <w:pStyle w:val="Heading2blue"/>
        <w:rPr>
          <w:rFonts w:eastAsiaTheme="majorEastAsia"/>
        </w:rPr>
      </w:pPr>
      <w:bookmarkStart w:id="19" w:name="_Toc429555804"/>
      <w:r w:rsidRPr="008A37EC">
        <w:rPr>
          <w:rFonts w:eastAsiaTheme="majorEastAsia"/>
        </w:rPr>
        <w:t>Reoffending</w:t>
      </w:r>
      <w:r w:rsidR="00072B27">
        <w:rPr>
          <w:rFonts w:eastAsiaTheme="majorEastAsia"/>
        </w:rPr>
        <w:t xml:space="preserve"> rates</w:t>
      </w:r>
      <w:bookmarkEnd w:id="19"/>
    </w:p>
    <w:p w14:paraId="21229BE4" w14:textId="77777777" w:rsidR="008A37EC" w:rsidRPr="008A37EC" w:rsidRDefault="008A37EC" w:rsidP="00402D02">
      <w:pPr>
        <w:pStyle w:val="SGBodytext"/>
      </w:pPr>
      <w:r w:rsidRPr="008A37EC">
        <w:t xml:space="preserve">Whilst there were 1,206 custodial convictions in 2013-14, only 634 individual </w:t>
      </w:r>
      <w:r w:rsidR="00250FFD">
        <w:t xml:space="preserve">women </w:t>
      </w:r>
      <w:r w:rsidRPr="008A37EC">
        <w:t>were involved</w:t>
      </w:r>
      <w:r w:rsidR="00EE636D">
        <w:t>,</w:t>
      </w:r>
      <w:r w:rsidRPr="008A37EC">
        <w:t xml:space="preserve"> primarily due to some people being convicted of numerous different offences at the same time.</w:t>
      </w:r>
    </w:p>
    <w:p w14:paraId="47C34C2D" w14:textId="77777777" w:rsidR="008A37EC" w:rsidRPr="008A37EC" w:rsidRDefault="008A37EC" w:rsidP="00402D02">
      <w:pPr>
        <w:pStyle w:val="SGBodytext"/>
      </w:pPr>
      <w:r w:rsidRPr="008A37EC">
        <w:t xml:space="preserve">Of these individuals, around 40% had no previous custodial convictions, and around 20% had no previous convictions whatsoever. Overall reconviction rates and return to custody rates for women </w:t>
      </w:r>
      <w:r w:rsidR="00484BDC">
        <w:t>are slightly lower than</w:t>
      </w:r>
      <w:r w:rsidRPr="008A37EC">
        <w:t xml:space="preserve"> those of men, with about 45% of those leaving custody being reconvicted within a year</w:t>
      </w:r>
      <w:r w:rsidR="00484BDC">
        <w:rPr>
          <w:rStyle w:val="FootnoteReference"/>
        </w:rPr>
        <w:footnoteReference w:id="6"/>
      </w:r>
      <w:r w:rsidRPr="008A37EC">
        <w:t>. About 25% return to custody within a year.  Reconviction rates are lower for older women (over 40) (29%), first time prisoners (21%), and first time offenders (9%).</w:t>
      </w:r>
    </w:p>
    <w:p w14:paraId="2A4E25BA" w14:textId="77777777" w:rsidR="008A37EC" w:rsidRPr="008A37EC" w:rsidRDefault="008A37EC" w:rsidP="00402D02">
      <w:pPr>
        <w:pStyle w:val="SGBodytext"/>
      </w:pPr>
      <w:r w:rsidRPr="008A37EC">
        <w:t>Acquisitive crimes, whilst being relatively low-level offences, are strongly associated with recidivism (Ministry of Justice, 2014</w:t>
      </w:r>
      <w:r w:rsidRPr="008A37EC">
        <w:rPr>
          <w:vertAlign w:val="superscript"/>
        </w:rPr>
        <w:endnoteReference w:id="17"/>
      </w:r>
      <w:r w:rsidRPr="008A37EC">
        <w:t>).  Within Scotland, in 2011-12, 55% of those convicted of shoplifting were subsequently reconvicted within one year, with most of these reconvictions being for further crimes of dishonesty</w:t>
      </w:r>
      <w:r w:rsidRPr="008A37EC">
        <w:rPr>
          <w:vertAlign w:val="superscript"/>
        </w:rPr>
        <w:endnoteReference w:id="18"/>
      </w:r>
      <w:r w:rsidRPr="008A37EC">
        <w:t>.</w:t>
      </w:r>
    </w:p>
    <w:p w14:paraId="130A2013" w14:textId="77777777" w:rsidR="008A37EC" w:rsidRPr="008A37EC" w:rsidRDefault="008A37EC" w:rsidP="0010717A">
      <w:pPr>
        <w:pStyle w:val="Heading2blue"/>
        <w:rPr>
          <w:rFonts w:eastAsiaTheme="majorEastAsia"/>
        </w:rPr>
      </w:pPr>
      <w:bookmarkStart w:id="20" w:name="_Toc429555805"/>
      <w:r w:rsidRPr="008A37EC">
        <w:rPr>
          <w:rFonts w:eastAsiaTheme="majorEastAsia"/>
        </w:rPr>
        <w:lastRenderedPageBreak/>
        <w:t>The female custodial estate in Scotland</w:t>
      </w:r>
      <w:bookmarkEnd w:id="20"/>
    </w:p>
    <w:p w14:paraId="067D21AB" w14:textId="77777777" w:rsidR="008A37EC" w:rsidRPr="008A37EC" w:rsidRDefault="008A37EC" w:rsidP="00402D02">
      <w:pPr>
        <w:pStyle w:val="SGBodytext"/>
      </w:pPr>
      <w:r w:rsidRPr="008A37EC">
        <w:t>There is one women-only prison in Scotland – HMP Cornton Vale – which holds the majority of female prisoners (</w:t>
      </w:r>
      <w:r w:rsidR="00175DB5">
        <w:t>219</w:t>
      </w:r>
      <w:r w:rsidR="005B0FBD">
        <w:t>)</w:t>
      </w:r>
      <w:r w:rsidRPr="008A37EC">
        <w:t>.   Some women</w:t>
      </w:r>
      <w:r w:rsidR="005B0FBD">
        <w:t xml:space="preserve"> are also held at HMP Edinburgh </w:t>
      </w:r>
      <w:r w:rsidRPr="008A37EC">
        <w:t>(</w:t>
      </w:r>
      <w:r w:rsidR="00175DB5">
        <w:t>96</w:t>
      </w:r>
      <w:r w:rsidRPr="008A37EC">
        <w:t>), HMP Greenock (</w:t>
      </w:r>
      <w:r w:rsidR="00175DB5">
        <w:t>53</w:t>
      </w:r>
      <w:r w:rsidRPr="008A37EC">
        <w:t>), and HMP G</w:t>
      </w:r>
      <w:r w:rsidR="005B0FBD">
        <w:t>rampian (4</w:t>
      </w:r>
      <w:r w:rsidR="008E7A28">
        <w:t>9)</w:t>
      </w:r>
      <w:r w:rsidR="008E7A28">
        <w:rPr>
          <w:rStyle w:val="FootnoteReference"/>
        </w:rPr>
        <w:footnoteReference w:id="7"/>
      </w:r>
      <w:r w:rsidR="008E7A28">
        <w:t xml:space="preserve">.  </w:t>
      </w:r>
    </w:p>
    <w:p w14:paraId="09814968" w14:textId="77777777" w:rsidR="008A37EC" w:rsidRPr="008A37EC" w:rsidRDefault="008A37EC" w:rsidP="00402D02">
      <w:pPr>
        <w:pStyle w:val="SGBodytext"/>
      </w:pPr>
      <w:r w:rsidRPr="008A37EC">
        <w:t>In the UK, the Corston Report</w:t>
      </w:r>
      <w:r w:rsidRPr="008A37EC">
        <w:rPr>
          <w:vertAlign w:val="superscript"/>
        </w:rPr>
        <w:endnoteReference w:id="19"/>
      </w:r>
      <w:r w:rsidRPr="008A37EC">
        <w:t xml:space="preserve"> in 2007, and in Scotland, the </w:t>
      </w:r>
      <w:r w:rsidRPr="008A37EC">
        <w:rPr>
          <w:b/>
        </w:rPr>
        <w:t>Angiolini Report</w:t>
      </w:r>
      <w:r w:rsidRPr="008A37EC">
        <w:rPr>
          <w:vertAlign w:val="superscript"/>
        </w:rPr>
        <w:endnoteReference w:id="20"/>
      </w:r>
      <w:r w:rsidRPr="008A37EC">
        <w:t xml:space="preserve"> in 2012, both made recommendations for improving the lives of women prisoners and reducing the female prison population.  The Angiolini Report included recommendations for a smaller replacement national prison for</w:t>
      </w:r>
      <w:r w:rsidR="00C8779B">
        <w:t xml:space="preserve"> serious offenders, with women o</w:t>
      </w:r>
      <w:r w:rsidRPr="008A37EC">
        <w:t xml:space="preserve">n remand or serving short sentences to be held in </w:t>
      </w:r>
      <w:r w:rsidRPr="008A37EC">
        <w:rPr>
          <w:b/>
        </w:rPr>
        <w:t>local prisons</w:t>
      </w:r>
      <w:r w:rsidRPr="008A37EC">
        <w:t xml:space="preserve"> to enhance family and community links and reintegration.   This was envisaged </w:t>
      </w:r>
      <w:r w:rsidR="00DB0C12">
        <w:t xml:space="preserve">in the report </w:t>
      </w:r>
      <w:r w:rsidRPr="008A37EC">
        <w:t xml:space="preserve">by adapting the existing estate (HMP Edinburgh, HMP Grampian, the new HMP Inverclyde and </w:t>
      </w:r>
      <w:r w:rsidR="00C8779B">
        <w:t xml:space="preserve">potentially </w:t>
      </w:r>
      <w:r w:rsidRPr="008A37EC">
        <w:t>HMP Low Moss).  The report also recommended increased use of video conferencing and gender specific training (</w:t>
      </w:r>
      <w:r w:rsidRPr="008A37EC">
        <w:rPr>
          <w:i/>
        </w:rPr>
        <w:t>Part 7: Prisons</w:t>
      </w:r>
      <w:r w:rsidRPr="008A37EC">
        <w:t>).</w:t>
      </w:r>
    </w:p>
    <w:p w14:paraId="3FE9DBAB" w14:textId="77777777" w:rsidR="008A37EC" w:rsidRPr="008A37EC" w:rsidRDefault="008A37EC" w:rsidP="00402D02">
      <w:pPr>
        <w:pStyle w:val="SGBodytext"/>
      </w:pPr>
      <w:r w:rsidRPr="008A37EC">
        <w:t xml:space="preserve">Since then, the plans for the new women’s prison at Inverclyde have been reconsidered with the focus now on a more </w:t>
      </w:r>
      <w:r w:rsidR="002761A2">
        <w:t>community-based</w:t>
      </w:r>
      <w:r w:rsidR="002761A2" w:rsidRPr="008A37EC">
        <w:t xml:space="preserve"> </w:t>
      </w:r>
      <w:r w:rsidRPr="008A37EC">
        <w:t xml:space="preserve">approach.  </w:t>
      </w:r>
    </w:p>
    <w:p w14:paraId="099D1481" w14:textId="77777777" w:rsidR="008A37EC" w:rsidRPr="008A37EC" w:rsidRDefault="008A37EC" w:rsidP="0010717A">
      <w:pPr>
        <w:pStyle w:val="Heading2blue"/>
        <w:rPr>
          <w:rFonts w:eastAsiaTheme="majorEastAsia"/>
        </w:rPr>
      </w:pPr>
      <w:bookmarkStart w:id="21" w:name="_Toc429555806"/>
      <w:r w:rsidRPr="008A37EC">
        <w:rPr>
          <w:rFonts w:eastAsiaTheme="majorEastAsia"/>
        </w:rPr>
        <w:t>Principles of best practice</w:t>
      </w:r>
      <w:bookmarkEnd w:id="21"/>
    </w:p>
    <w:p w14:paraId="6A28431F" w14:textId="77777777" w:rsidR="008A37EC" w:rsidRPr="008A37EC" w:rsidRDefault="008A37EC" w:rsidP="00402D02">
      <w:pPr>
        <w:pStyle w:val="SGBodytext"/>
      </w:pPr>
      <w:r w:rsidRPr="008A37EC">
        <w:t xml:space="preserve">International evidence on penal policy for women consistently emphasises the importance of addressing the </w:t>
      </w:r>
      <w:r w:rsidRPr="008A37EC">
        <w:rPr>
          <w:b/>
        </w:rPr>
        <w:t>particular (and multiple) needs</w:t>
      </w:r>
      <w:r w:rsidRPr="008A37EC">
        <w:t xml:space="preserve"> of women in custody in a holistic and coordinated way.  It is </w:t>
      </w:r>
      <w:r w:rsidR="002761A2">
        <w:t xml:space="preserve">widely </w:t>
      </w:r>
      <w:r w:rsidRPr="008A37EC">
        <w:t xml:space="preserve">recommended that all </w:t>
      </w:r>
      <w:r w:rsidR="002761A2">
        <w:t>women’s</w:t>
      </w:r>
      <w:r w:rsidR="00562D70">
        <w:t xml:space="preserve"> </w:t>
      </w:r>
      <w:r w:rsidR="002761A2">
        <w:t>needs, in particular criminogenic needs</w:t>
      </w:r>
      <w:r w:rsidR="00562D70">
        <w:rPr>
          <w:rStyle w:val="FootnoteReference"/>
        </w:rPr>
        <w:footnoteReference w:id="8"/>
      </w:r>
      <w:r w:rsidR="002761A2">
        <w:t>,</w:t>
      </w:r>
      <w:r w:rsidRPr="008A37EC">
        <w:t xml:space="preserve"> should be addressed in custody and beyond (</w:t>
      </w:r>
      <w:r w:rsidR="002761A2">
        <w:t>e.g.</w:t>
      </w:r>
      <w:r w:rsidRPr="008A37EC">
        <w:t xml:space="preserve"> physical and mental health, substance abuse, education, employment, parenting, finances, housing and psychological wellbeing</w:t>
      </w:r>
      <w:r w:rsidRPr="008A37EC">
        <w:rPr>
          <w:vertAlign w:val="superscript"/>
        </w:rPr>
        <w:endnoteReference w:id="21"/>
      </w:r>
      <w:r w:rsidRPr="008A37EC">
        <w:t>).</w:t>
      </w:r>
    </w:p>
    <w:p w14:paraId="25A3E730" w14:textId="77777777" w:rsidR="008A37EC" w:rsidRPr="008A37EC" w:rsidRDefault="008A37EC" w:rsidP="00402D02">
      <w:pPr>
        <w:pStyle w:val="SGBodytext"/>
      </w:pPr>
      <w:r w:rsidRPr="008A37EC">
        <w:t xml:space="preserve">Much of the research on managing women offenders suggests that a </w:t>
      </w:r>
      <w:r w:rsidRPr="008A37EC">
        <w:rPr>
          <w:b/>
        </w:rPr>
        <w:t>gender specific approach</w:t>
      </w:r>
      <w:r w:rsidRPr="008A37EC">
        <w:t xml:space="preserve"> is central to achieving better outcomes for women</w:t>
      </w:r>
      <w:r w:rsidRPr="008A37EC">
        <w:rPr>
          <w:vertAlign w:val="superscript"/>
        </w:rPr>
        <w:endnoteReference w:id="22"/>
      </w:r>
      <w:r w:rsidRPr="008A37EC">
        <w:t xml:space="preserve">.  This may take the form of </w:t>
      </w:r>
      <w:r w:rsidRPr="008A37EC">
        <w:rPr>
          <w:b/>
        </w:rPr>
        <w:t>gender-specific assessment/classification methods, staff training and female staffing levels</w:t>
      </w:r>
      <w:r w:rsidRPr="008A37EC">
        <w:rPr>
          <w:vertAlign w:val="superscript"/>
        </w:rPr>
        <w:footnoteReference w:id="9"/>
      </w:r>
      <w:r w:rsidRPr="008A37EC">
        <w:t>.  Some other key principles of best practice highlighted in the literature</w:t>
      </w:r>
      <w:r w:rsidRPr="008A37EC">
        <w:rPr>
          <w:vertAlign w:val="superscript"/>
        </w:rPr>
        <w:endnoteReference w:id="23"/>
      </w:r>
      <w:r w:rsidRPr="008A37EC">
        <w:rPr>
          <w:vertAlign w:val="superscript"/>
        </w:rPr>
        <w:t>,</w:t>
      </w:r>
      <w:r w:rsidRPr="008A37EC">
        <w:rPr>
          <w:vertAlign w:val="superscript"/>
        </w:rPr>
        <w:endnoteReference w:id="24"/>
      </w:r>
      <w:r w:rsidRPr="008A37EC">
        <w:rPr>
          <w:vertAlign w:val="superscript"/>
        </w:rPr>
        <w:t>,</w:t>
      </w:r>
      <w:r w:rsidRPr="008A37EC">
        <w:rPr>
          <w:vertAlign w:val="superscript"/>
        </w:rPr>
        <w:endnoteReference w:id="25"/>
      </w:r>
      <w:r w:rsidRPr="008A37EC">
        <w:t xml:space="preserve"> are:</w:t>
      </w:r>
    </w:p>
    <w:p w14:paraId="1BE8D7A2" w14:textId="77777777" w:rsidR="008A37EC" w:rsidRPr="00C8779B" w:rsidRDefault="008A37EC" w:rsidP="00402D02">
      <w:pPr>
        <w:pStyle w:val="SGBodytext"/>
      </w:pPr>
      <w:r w:rsidRPr="00C8779B">
        <w:t xml:space="preserve">Empowerment and efficacy </w:t>
      </w:r>
    </w:p>
    <w:p w14:paraId="4EA5285C" w14:textId="77777777" w:rsidR="008A37EC" w:rsidRPr="00CD076F" w:rsidRDefault="008A37EC" w:rsidP="00402D02">
      <w:pPr>
        <w:pStyle w:val="SGBodytext"/>
        <w:numPr>
          <w:ilvl w:val="0"/>
          <w:numId w:val="35"/>
        </w:numPr>
      </w:pPr>
      <w:r w:rsidRPr="00CD076F">
        <w:t xml:space="preserve">Approaches that empower women to change and promote self-efficacy </w:t>
      </w:r>
    </w:p>
    <w:p w14:paraId="310A2857" w14:textId="77777777" w:rsidR="008A37EC" w:rsidRPr="00CD076F" w:rsidRDefault="008A37EC" w:rsidP="00402D02">
      <w:pPr>
        <w:pStyle w:val="SGBodytext"/>
        <w:numPr>
          <w:ilvl w:val="0"/>
          <w:numId w:val="35"/>
        </w:numPr>
      </w:pPr>
      <w:r w:rsidRPr="00CD076F">
        <w:t xml:space="preserve">Approaches that encourage self-knowledge and </w:t>
      </w:r>
      <w:r w:rsidR="00BD2793" w:rsidRPr="00CD076F">
        <w:t xml:space="preserve">improved </w:t>
      </w:r>
      <w:r w:rsidRPr="00CD076F">
        <w:t>self-esteem</w:t>
      </w:r>
    </w:p>
    <w:p w14:paraId="6DBA600E" w14:textId="77777777" w:rsidR="008A37EC" w:rsidRPr="00C8779B" w:rsidRDefault="008A37EC" w:rsidP="00402D02">
      <w:pPr>
        <w:pStyle w:val="SGBodytext"/>
      </w:pPr>
      <w:r w:rsidRPr="00C8779B">
        <w:t xml:space="preserve">Relationships/connections with others </w:t>
      </w:r>
    </w:p>
    <w:p w14:paraId="2203D9BF" w14:textId="77777777" w:rsidR="008A37EC" w:rsidRPr="00C8779B" w:rsidRDefault="008A37EC" w:rsidP="00402D02">
      <w:pPr>
        <w:pStyle w:val="SGBodytext"/>
        <w:numPr>
          <w:ilvl w:val="0"/>
          <w:numId w:val="36"/>
        </w:numPr>
      </w:pPr>
      <w:r w:rsidRPr="00C8779B">
        <w:lastRenderedPageBreak/>
        <w:t>Approaches that promote healthy relationships between women prisoners, significant others (especially their children) and the wider community</w:t>
      </w:r>
    </w:p>
    <w:p w14:paraId="08C53428" w14:textId="77777777" w:rsidR="008A37EC" w:rsidRPr="00C8779B" w:rsidRDefault="008A37EC" w:rsidP="00402D02">
      <w:pPr>
        <w:pStyle w:val="SGBodytext"/>
      </w:pPr>
      <w:r w:rsidRPr="00C8779B">
        <w:t>Integrated services</w:t>
      </w:r>
    </w:p>
    <w:p w14:paraId="106E85C0" w14:textId="77777777" w:rsidR="008A37EC" w:rsidRPr="00C8779B" w:rsidRDefault="008A37EC" w:rsidP="00402D02">
      <w:pPr>
        <w:pStyle w:val="SGBodytext"/>
        <w:numPr>
          <w:ilvl w:val="0"/>
          <w:numId w:val="36"/>
        </w:numPr>
      </w:pPr>
      <w:r w:rsidRPr="00C8779B">
        <w:t xml:space="preserve">Interventions which adopt a holistic approach to address multiple needs </w:t>
      </w:r>
    </w:p>
    <w:p w14:paraId="7B0DD875" w14:textId="77777777" w:rsidR="008A37EC" w:rsidRPr="00C8779B" w:rsidRDefault="008A37EC" w:rsidP="00402D02">
      <w:pPr>
        <w:pStyle w:val="SGBodytext"/>
        <w:numPr>
          <w:ilvl w:val="0"/>
          <w:numId w:val="36"/>
        </w:numPr>
      </w:pPr>
      <w:r w:rsidRPr="00C8779B">
        <w:t>Support provided in custody is available in the community ensuring continuity of care on release (with an emphasis on healthcare provision)</w:t>
      </w:r>
    </w:p>
    <w:p w14:paraId="5D360C2B" w14:textId="77777777" w:rsidR="008A37EC" w:rsidRPr="008A37EC" w:rsidRDefault="008A37EC" w:rsidP="00402D02">
      <w:pPr>
        <w:pStyle w:val="SGBodytext"/>
      </w:pPr>
      <w:r w:rsidRPr="008A37EC">
        <w:t xml:space="preserve">Individual prisons </w:t>
      </w:r>
      <w:r w:rsidR="00C8779B">
        <w:t xml:space="preserve">in Australia </w:t>
      </w:r>
      <w:r w:rsidRPr="008A37EC">
        <w:t xml:space="preserve">have developed their own philosophies on the treatment of women in custody.  For example, the Boronia Pre-release Centre in Western Australia’s guiding principles focus on </w:t>
      </w:r>
      <w:r w:rsidRPr="008A37EC">
        <w:rPr>
          <w:b/>
        </w:rPr>
        <w:t>women’s</w:t>
      </w:r>
      <w:r w:rsidRPr="008A37EC">
        <w:t xml:space="preserve"> </w:t>
      </w:r>
      <w:r w:rsidRPr="008A37EC">
        <w:rPr>
          <w:b/>
        </w:rPr>
        <w:t>responsibility</w:t>
      </w:r>
      <w:r w:rsidRPr="008A37EC">
        <w:t xml:space="preserve"> - for themselves, their family and the community.  The four principles are: personal responsibility and empowerment (e.g. providing women with choices about what they do), family responsibilities (e.g. maximising family contact in a child-friendly environment), community responsibility (e.g. working with and for the community and gaining new skills), and lastly, respect and integrity (e.g. cultural and gender-appropriate services).  Boronia has a strong emphasis on education and throughcare, and has continued to lower its recidivism rates</w:t>
      </w:r>
      <w:r w:rsidRPr="008A37EC">
        <w:rPr>
          <w:vertAlign w:val="superscript"/>
        </w:rPr>
        <w:endnoteReference w:id="26"/>
      </w:r>
      <w:r w:rsidRPr="008A37EC">
        <w:t>.</w:t>
      </w:r>
    </w:p>
    <w:p w14:paraId="7D7DBDA3" w14:textId="77777777" w:rsidR="00B06AF8" w:rsidRDefault="008A37EC" w:rsidP="00402D02">
      <w:pPr>
        <w:pStyle w:val="SGBodytext"/>
      </w:pPr>
      <w:r w:rsidRPr="008A37EC">
        <w:t xml:space="preserve">In Scandinavian countries, the </w:t>
      </w:r>
      <w:r w:rsidRPr="008A37EC">
        <w:rPr>
          <w:b/>
        </w:rPr>
        <w:t>principle of normality</w:t>
      </w:r>
      <w:r w:rsidRPr="008A37EC">
        <w:rPr>
          <w:b/>
          <w:vertAlign w:val="superscript"/>
        </w:rPr>
        <w:footnoteReference w:id="10"/>
      </w:r>
      <w:r w:rsidRPr="008A37EC">
        <w:t xml:space="preserve"> is central to its penal policy.  The idea of ‘normalisation’ is that prison life should resemble life outside prison as far as possible.  In practice this means that </w:t>
      </w:r>
      <w:r w:rsidR="001F6460">
        <w:t xml:space="preserve">women </w:t>
      </w:r>
      <w:r w:rsidRPr="008A37EC">
        <w:t xml:space="preserve"> undertake </w:t>
      </w:r>
      <w:r w:rsidR="00BD2793">
        <w:t>meaningful</w:t>
      </w:r>
      <w:r w:rsidR="00BD2793" w:rsidRPr="008A37EC">
        <w:t xml:space="preserve"> </w:t>
      </w:r>
      <w:r w:rsidRPr="008A37EC">
        <w:t xml:space="preserve">activities whilst in custody (e.g. work, education), take responsibility for themselves (e.g. purchasing and cooking their food) and retain connections with their family and local communities.  </w:t>
      </w:r>
      <w:r w:rsidR="00B06AF8">
        <w:t>The purpose of normalisation is to facilitate successful rehabilitation and reintegration and reduce the negative impacts of imprisonment.</w:t>
      </w:r>
    </w:p>
    <w:p w14:paraId="5BE10542" w14:textId="77777777" w:rsidR="008A37EC" w:rsidRPr="008A37EC" w:rsidRDefault="00DB0C12" w:rsidP="00402D02">
      <w:pPr>
        <w:pStyle w:val="SGBodytext"/>
      </w:pPr>
      <w:r>
        <w:t>There</w:t>
      </w:r>
      <w:r w:rsidR="008A37EC" w:rsidRPr="008A37EC">
        <w:t xml:space="preserve"> is an increasing emphasis being placed on the value of </w:t>
      </w:r>
      <w:r w:rsidR="008A37EC" w:rsidRPr="00EB29FB">
        <w:rPr>
          <w:b/>
        </w:rPr>
        <w:t>education</w:t>
      </w:r>
      <w:r w:rsidR="008A37EC" w:rsidRPr="008A37EC">
        <w:t xml:space="preserve"> for women in custody, and the importance of women having the opportunity to undertake </w:t>
      </w:r>
      <w:r w:rsidR="008A37EC" w:rsidRPr="008A37EC">
        <w:rPr>
          <w:b/>
        </w:rPr>
        <w:t>purposeful activities</w:t>
      </w:r>
      <w:r w:rsidR="008A37EC" w:rsidRPr="008A37EC">
        <w:t>.  For example, a number of prisons in Australia</w:t>
      </w:r>
      <w:r w:rsidR="008A37EC" w:rsidRPr="008A37EC">
        <w:rPr>
          <w:vertAlign w:val="superscript"/>
        </w:rPr>
        <w:footnoteReference w:id="11"/>
      </w:r>
      <w:r w:rsidR="008A37EC" w:rsidRPr="008A37EC">
        <w:t xml:space="preserve"> have been praised for their introduction of a </w:t>
      </w:r>
      <w:r w:rsidR="008A37EC" w:rsidRPr="008A37EC">
        <w:rPr>
          <w:b/>
        </w:rPr>
        <w:t>‘structured day’ regime</w:t>
      </w:r>
      <w:r w:rsidR="008A37EC" w:rsidRPr="008A37EC">
        <w:t xml:space="preserve">.   In Bandyup Prison, for example, women undertake meaningful activity for five hours per day, five days a week.  The activities from which they can choose include work, education, programmes, visits, medical appointments, recreation and personal time. </w:t>
      </w:r>
      <w:r w:rsidR="00AD130D">
        <w:t>Women are rewarded for their participation in activities via a gratuity system</w:t>
      </w:r>
      <w:r w:rsidR="008A37EC" w:rsidRPr="008A37EC">
        <w:rPr>
          <w:vertAlign w:val="superscript"/>
        </w:rPr>
        <w:endnoteReference w:id="27"/>
      </w:r>
      <w:r w:rsidR="008A37EC" w:rsidRPr="008A37EC">
        <w:t>.</w:t>
      </w:r>
    </w:p>
    <w:p w14:paraId="6293964E" w14:textId="77777777" w:rsidR="008A37EC" w:rsidRPr="008A37EC" w:rsidRDefault="008A37EC" w:rsidP="00402D02">
      <w:pPr>
        <w:pStyle w:val="SGBodytext"/>
      </w:pPr>
      <w:r w:rsidRPr="008A37EC">
        <w:t xml:space="preserve">The </w:t>
      </w:r>
      <w:r w:rsidRPr="008A37EC">
        <w:rPr>
          <w:i/>
        </w:rPr>
        <w:t>UN Rules for the Treatment of Women Prisoners and Non-custodial Measures for Women Offenders</w:t>
      </w:r>
      <w:r w:rsidRPr="008A37EC">
        <w:rPr>
          <w:sz w:val="22"/>
          <w:szCs w:val="22"/>
        </w:rPr>
        <w:t xml:space="preserve"> </w:t>
      </w:r>
      <w:r w:rsidRPr="008A37EC">
        <w:t>(the</w:t>
      </w:r>
      <w:r w:rsidRPr="008A37EC">
        <w:rPr>
          <w:sz w:val="22"/>
          <w:szCs w:val="22"/>
        </w:rPr>
        <w:t xml:space="preserve"> </w:t>
      </w:r>
      <w:r w:rsidRPr="008A37EC">
        <w:rPr>
          <w:b/>
        </w:rPr>
        <w:t>Bangkok Rules)</w:t>
      </w:r>
      <w:r w:rsidRPr="008A37EC">
        <w:t xml:space="preserve">, adopted by the United Nations in July 2010, are a set of international standards governing the treatment of women in prison and non-custodial alternatives.  The rules set out the specific needs of women in relation to </w:t>
      </w:r>
      <w:r w:rsidRPr="008A37EC">
        <w:lastRenderedPageBreak/>
        <w:t>families, support, reintegration and previous abuse and vulnerability.  The key principles are:</w:t>
      </w:r>
    </w:p>
    <w:p w14:paraId="52FA2CAA" w14:textId="77777777" w:rsidR="008A37EC" w:rsidRPr="008A37EC" w:rsidRDefault="008A37EC" w:rsidP="00402D02">
      <w:pPr>
        <w:pStyle w:val="SGBodytext"/>
      </w:pPr>
      <w:r w:rsidRPr="008A37EC">
        <w:t xml:space="preserve">‘Gender-specific options for diversionary measures and pre-trial and sentencing alternatives shall be developed within Member States’ legal systems, taking account of the </w:t>
      </w:r>
      <w:r w:rsidRPr="008A37EC">
        <w:rPr>
          <w:u w:val="single"/>
        </w:rPr>
        <w:t>history of victimization</w:t>
      </w:r>
      <w:r w:rsidRPr="008A37EC">
        <w:t xml:space="preserve"> of many women offenders and their </w:t>
      </w:r>
      <w:r w:rsidRPr="008A37EC">
        <w:rPr>
          <w:u w:val="single"/>
        </w:rPr>
        <w:t>caretaking responsibilities</w:t>
      </w:r>
      <w:r w:rsidR="00190189">
        <w:rPr>
          <w:u w:val="single"/>
        </w:rPr>
        <w:t>’</w:t>
      </w:r>
      <w:r w:rsidRPr="008A37EC">
        <w:t xml:space="preserve">. </w:t>
      </w:r>
    </w:p>
    <w:p w14:paraId="62905909" w14:textId="77777777" w:rsidR="008A37EC" w:rsidRPr="008A37EC" w:rsidRDefault="008A37EC" w:rsidP="00402D02">
      <w:pPr>
        <w:pStyle w:val="SGBodytext"/>
      </w:pPr>
      <w:r w:rsidRPr="008A37EC">
        <w:t xml:space="preserve">‘Women offenders </w:t>
      </w:r>
      <w:r w:rsidRPr="008A37EC">
        <w:rPr>
          <w:u w:val="single"/>
        </w:rPr>
        <w:t>shall not be separated from their families and communities</w:t>
      </w:r>
      <w:r w:rsidRPr="008A37EC">
        <w:t xml:space="preserve"> without due consideration being given to their backgrounds and family ties. </w:t>
      </w:r>
      <w:r w:rsidRPr="008A37EC">
        <w:rPr>
          <w:u w:val="single"/>
        </w:rPr>
        <w:t>Alternative ways of managing women</w:t>
      </w:r>
      <w:r w:rsidRPr="008A37EC">
        <w:t xml:space="preserve"> who commit offences, such as diversionary measures and pre-trial and sentencing alternatives, shall be implemented wherever appropriate and possible.’</w:t>
      </w:r>
      <w:r w:rsidRPr="008A37EC">
        <w:rPr>
          <w:vertAlign w:val="superscript"/>
        </w:rPr>
        <w:endnoteReference w:id="28"/>
      </w:r>
    </w:p>
    <w:p w14:paraId="56B4A1F5" w14:textId="77777777" w:rsidR="008A37EC" w:rsidRPr="008A37EC" w:rsidRDefault="008A37EC" w:rsidP="00402D02">
      <w:pPr>
        <w:pStyle w:val="SGBodytext"/>
      </w:pPr>
      <w:r w:rsidRPr="008A37EC">
        <w:t>There are a number of other international standards which apply to the UK in relation to female offenders.  A good summary of these can be found in the P</w:t>
      </w:r>
      <w:r w:rsidR="00AD130D">
        <w:t xml:space="preserve">rison </w:t>
      </w:r>
      <w:r w:rsidRPr="008A37EC">
        <w:t>R</w:t>
      </w:r>
      <w:r w:rsidR="00AD130D">
        <w:t xml:space="preserve">eform </w:t>
      </w:r>
      <w:r w:rsidRPr="008A37EC">
        <w:t>T</w:t>
      </w:r>
      <w:r w:rsidR="00AD130D">
        <w:t>rust</w:t>
      </w:r>
      <w:r w:rsidRPr="008A37EC">
        <w:t xml:space="preserve"> (2013) report (pp5-7)</w:t>
      </w:r>
      <w:r w:rsidRPr="008A37EC">
        <w:rPr>
          <w:vertAlign w:val="superscript"/>
        </w:rPr>
        <w:t xml:space="preserve"> </w:t>
      </w:r>
      <w:r w:rsidRPr="008A37EC">
        <w:rPr>
          <w:vertAlign w:val="superscript"/>
        </w:rPr>
        <w:endnoteReference w:id="29"/>
      </w:r>
      <w:r w:rsidRPr="008A37EC">
        <w:t>.</w:t>
      </w:r>
    </w:p>
    <w:p w14:paraId="6AB61F39" w14:textId="77777777" w:rsidR="008A37EC" w:rsidRPr="008A37EC" w:rsidRDefault="008A37EC" w:rsidP="0010717A">
      <w:pPr>
        <w:pStyle w:val="Heading1blue"/>
        <w:numPr>
          <w:ilvl w:val="0"/>
          <w:numId w:val="33"/>
        </w:numPr>
        <w:rPr>
          <w:rFonts w:eastAsiaTheme="majorEastAsia"/>
        </w:rPr>
      </w:pPr>
      <w:r>
        <w:br w:type="page"/>
      </w:r>
      <w:bookmarkStart w:id="22" w:name="_Toc419291719"/>
      <w:bookmarkStart w:id="23" w:name="_Toc429555807"/>
      <w:r w:rsidRPr="008A37EC">
        <w:rPr>
          <w:rFonts w:eastAsiaTheme="majorEastAsia"/>
        </w:rPr>
        <w:lastRenderedPageBreak/>
        <w:t xml:space="preserve">International Approaches to Women in </w:t>
      </w:r>
      <w:r w:rsidR="00190189">
        <w:rPr>
          <w:rFonts w:eastAsiaTheme="majorEastAsia"/>
        </w:rPr>
        <w:tab/>
      </w:r>
      <w:r w:rsidRPr="008A37EC">
        <w:rPr>
          <w:rFonts w:eastAsiaTheme="majorEastAsia"/>
        </w:rPr>
        <w:t>Custody</w:t>
      </w:r>
      <w:bookmarkEnd w:id="22"/>
      <w:bookmarkEnd w:id="23"/>
      <w:r w:rsidRPr="008A37EC">
        <w:rPr>
          <w:rFonts w:eastAsiaTheme="majorEastAsia"/>
        </w:rPr>
        <w:t xml:space="preserve"> </w:t>
      </w:r>
    </w:p>
    <w:p w14:paraId="67D8CB23" w14:textId="77777777" w:rsidR="008A37EC" w:rsidRPr="008A37EC" w:rsidRDefault="008A37EC" w:rsidP="00402D02">
      <w:pPr>
        <w:pStyle w:val="SGBodytext"/>
      </w:pPr>
      <w:r w:rsidRPr="008A37EC">
        <w:t xml:space="preserve">This section provides an overview of different models for women in custody across a range of countries, with an emphasis on Scandinavia and Canada (Nordic countries have low prison populations; Canada has been praised for its gender-specific regional approach).  The section begins with non-residential alternatives to custody moving onto </w:t>
      </w:r>
      <w:r w:rsidR="00BD2793">
        <w:t xml:space="preserve">community residential </w:t>
      </w:r>
      <w:r w:rsidR="00BD2793" w:rsidRPr="008A37EC">
        <w:t>centres</w:t>
      </w:r>
      <w:r w:rsidR="00BD2793">
        <w:t>,</w:t>
      </w:r>
      <w:r w:rsidR="00BD2793" w:rsidRPr="008A37EC">
        <w:t xml:space="preserve"> </w:t>
      </w:r>
      <w:r w:rsidRPr="008A37EC">
        <w:t xml:space="preserve">open prisons, and </w:t>
      </w:r>
      <w:r w:rsidR="00275DB5">
        <w:t>small custodial units</w:t>
      </w:r>
      <w:r w:rsidRPr="008A37EC">
        <w:t xml:space="preserve">.  </w:t>
      </w:r>
    </w:p>
    <w:p w14:paraId="02F5DA1B" w14:textId="77777777" w:rsidR="008A37EC" w:rsidRPr="008A37EC" w:rsidRDefault="008A37EC" w:rsidP="00072B27">
      <w:pPr>
        <w:pStyle w:val="Heading2blue"/>
        <w:rPr>
          <w:rFonts w:eastAsiaTheme="majorEastAsia"/>
        </w:rPr>
      </w:pPr>
      <w:bookmarkStart w:id="24" w:name="_Toc429555808"/>
      <w:r w:rsidRPr="008A37EC">
        <w:rPr>
          <w:rFonts w:eastAsiaTheme="majorEastAsia"/>
        </w:rPr>
        <w:t xml:space="preserve">Non-residential alternatives to </w:t>
      </w:r>
      <w:r w:rsidR="0006518E">
        <w:rPr>
          <w:rFonts w:eastAsiaTheme="majorEastAsia"/>
        </w:rPr>
        <w:t>custody</w:t>
      </w:r>
      <w:bookmarkEnd w:id="24"/>
    </w:p>
    <w:p w14:paraId="2CBCEFDD" w14:textId="77777777" w:rsidR="008A37EC" w:rsidRPr="008A37EC" w:rsidRDefault="008A37EC" w:rsidP="00402D02">
      <w:pPr>
        <w:pStyle w:val="SGBodytext"/>
      </w:pPr>
      <w:r w:rsidRPr="008A37EC">
        <w:t xml:space="preserve">A number of countries manage female offenders in the community through intensive supervision </w:t>
      </w:r>
      <w:r w:rsidR="00BD2793">
        <w:t xml:space="preserve">in the community </w:t>
      </w:r>
      <w:r w:rsidRPr="008A37EC">
        <w:t>often combined with some form of monitoring of their movements (e.g. curfew, electronic monitoring).</w:t>
      </w:r>
      <w:r w:rsidR="00C77AA1">
        <w:t xml:space="preserve">  </w:t>
      </w:r>
    </w:p>
    <w:p w14:paraId="674AB1A6" w14:textId="77777777" w:rsidR="008A37EC" w:rsidRPr="00EB29FB" w:rsidRDefault="008A37EC" w:rsidP="00402D02">
      <w:pPr>
        <w:pStyle w:val="SGBodytext"/>
      </w:pPr>
      <w:r w:rsidRPr="008A37EC">
        <w:rPr>
          <w:b/>
        </w:rPr>
        <w:t>Sweden</w:t>
      </w:r>
      <w:r w:rsidRPr="008A37EC">
        <w:t xml:space="preserve"> introduced </w:t>
      </w:r>
      <w:r w:rsidRPr="008A37EC">
        <w:rPr>
          <w:b/>
        </w:rPr>
        <w:t>intensive supervision and electronic monitoring</w:t>
      </w:r>
      <w:r w:rsidRPr="008A37EC">
        <w:t xml:space="preserve"> in 1999.  This enables low level offenders to apply to serve (short) sentences (n</w:t>
      </w:r>
      <w:r w:rsidR="00204397">
        <w:t>ormally under 3 months) at home; 90</w:t>
      </w:r>
      <w:r w:rsidRPr="008A37EC">
        <w:t>% of applications are granted.  Individuals are monitored 24/7 and can only leave the house for pre-planned activities (e.g. work)</w:t>
      </w:r>
      <w:r w:rsidRPr="008A37EC">
        <w:rPr>
          <w:vertAlign w:val="superscript"/>
        </w:rPr>
        <w:endnoteReference w:id="30"/>
      </w:r>
      <w:r w:rsidRPr="008A37EC">
        <w:t xml:space="preserve">.  </w:t>
      </w:r>
    </w:p>
    <w:p w14:paraId="378E1F45" w14:textId="77777777" w:rsidR="001512BE" w:rsidRPr="00EB29FB" w:rsidRDefault="008A37EC" w:rsidP="00402D02">
      <w:pPr>
        <w:pStyle w:val="SGBodytext"/>
      </w:pPr>
      <w:r w:rsidRPr="00EB29FB">
        <w:t xml:space="preserve">This approach has had a marked impact on sentencing and </w:t>
      </w:r>
      <w:r w:rsidR="00C8779B" w:rsidRPr="00EB29FB">
        <w:t xml:space="preserve">the female prison population, with </w:t>
      </w:r>
      <w:r w:rsidRPr="00EB29FB">
        <w:t xml:space="preserve">the number of women sent to prison </w:t>
      </w:r>
      <w:r w:rsidR="00C8779B" w:rsidRPr="00EB29FB">
        <w:t>dropping by</w:t>
      </w:r>
      <w:r w:rsidRPr="00EB29FB">
        <w:t xml:space="preserve"> about 250-300 per year</w:t>
      </w:r>
      <w:r w:rsidR="001512BE" w:rsidRPr="00EB29FB">
        <w:t xml:space="preserve"> as </w:t>
      </w:r>
      <w:r w:rsidR="001512BE" w:rsidRPr="00EB29FB">
        <w:rPr>
          <w:b/>
        </w:rPr>
        <w:t xml:space="preserve">those who would </w:t>
      </w:r>
      <w:r w:rsidR="00624FBF" w:rsidRPr="00EB29FB">
        <w:rPr>
          <w:b/>
        </w:rPr>
        <w:t xml:space="preserve">presumably </w:t>
      </w:r>
      <w:r w:rsidR="001512BE" w:rsidRPr="00EB29FB">
        <w:rPr>
          <w:b/>
        </w:rPr>
        <w:t>have served short sentences in custody instead serve their ‘custodial’ sentence in the community</w:t>
      </w:r>
      <w:r w:rsidR="001512BE" w:rsidRPr="00EB29FB">
        <w:t xml:space="preserve">.  </w:t>
      </w:r>
      <w:r w:rsidR="00C8779B" w:rsidRPr="00EB29FB">
        <w:t>In contrast,</w:t>
      </w:r>
      <w:r w:rsidRPr="00EB29FB">
        <w:t xml:space="preserve"> the percentage of those convicted of serious crimes and sentence</w:t>
      </w:r>
      <w:r w:rsidR="00C8779B" w:rsidRPr="00EB29FB">
        <w:t>d to one year or more has risen</w:t>
      </w:r>
      <w:r w:rsidRPr="00EB29FB">
        <w:t xml:space="preserve"> i.e. only the more serious crimes result in imprisonment</w:t>
      </w:r>
      <w:r w:rsidRPr="00EB29FB">
        <w:rPr>
          <w:vertAlign w:val="superscript"/>
        </w:rPr>
        <w:endnoteReference w:id="31"/>
      </w:r>
      <w:r w:rsidRPr="00EB29FB">
        <w:t xml:space="preserve">.  </w:t>
      </w:r>
    </w:p>
    <w:p w14:paraId="62527E78" w14:textId="77777777" w:rsidR="00F00585" w:rsidRPr="00EB29FB" w:rsidRDefault="00F00585" w:rsidP="00F00585">
      <w:pPr>
        <w:tabs>
          <w:tab w:val="clear" w:pos="720"/>
          <w:tab w:val="clear" w:pos="1440"/>
          <w:tab w:val="clear" w:pos="2160"/>
          <w:tab w:val="clear" w:pos="2880"/>
          <w:tab w:val="clear" w:pos="4680"/>
          <w:tab w:val="clear" w:pos="5400"/>
          <w:tab w:val="clear" w:pos="9000"/>
        </w:tabs>
        <w:spacing w:after="240" w:line="300" w:lineRule="exact"/>
        <w:rPr>
          <w:rFonts w:eastAsia="Times New Roman" w:cs="Arial"/>
          <w:noProof/>
          <w:sz w:val="24"/>
          <w:szCs w:val="24"/>
          <w:lang w:eastAsia="en-GB"/>
        </w:rPr>
      </w:pPr>
      <w:r w:rsidRPr="00EB29FB">
        <w:rPr>
          <w:rFonts w:eastAsia="Times New Roman" w:cs="Arial"/>
          <w:noProof/>
          <w:sz w:val="24"/>
          <w:szCs w:val="24"/>
          <w:lang w:eastAsia="en-GB"/>
        </w:rPr>
        <w:t>Although electronic monitoring (EM) is reported as a contributing factor to Sweden’s low female prison population, the literature also suggests that careful consideration should be given to the domestic circumstances of women under EM, particularly those with parenting responsibilities</w:t>
      </w:r>
      <w:r w:rsidR="004A68F1" w:rsidRPr="00EB29FB">
        <w:rPr>
          <w:rFonts w:eastAsia="Times New Roman" w:cs="Arial"/>
          <w:noProof/>
          <w:sz w:val="24"/>
          <w:szCs w:val="24"/>
          <w:lang w:eastAsia="en-GB"/>
        </w:rPr>
        <w:t xml:space="preserve"> and single mothers</w:t>
      </w:r>
      <w:r w:rsidRPr="00EB29FB">
        <w:rPr>
          <w:vertAlign w:val="superscript"/>
        </w:rPr>
        <w:endnoteReference w:id="32"/>
      </w:r>
      <w:r w:rsidRPr="00EB29FB">
        <w:rPr>
          <w:rFonts w:eastAsia="Times New Roman" w:cs="Arial"/>
          <w:noProof/>
          <w:sz w:val="24"/>
          <w:szCs w:val="24"/>
          <w:lang w:eastAsia="en-GB"/>
        </w:rPr>
        <w:t>.</w:t>
      </w:r>
    </w:p>
    <w:p w14:paraId="11CAAAB9" w14:textId="77777777" w:rsidR="008A37EC" w:rsidRPr="008A37EC" w:rsidRDefault="008A37EC" w:rsidP="00402D02">
      <w:pPr>
        <w:pStyle w:val="SGBodytext"/>
      </w:pPr>
      <w:r w:rsidRPr="00EB29FB">
        <w:t>Rehabilitation is central to the ethos and running of the Swedish penal system</w:t>
      </w:r>
      <w:r w:rsidRPr="008A37EC">
        <w:t xml:space="preserve">.  Since 2007 a number of rehabilitative options have been utilised, including conditional release (e.g. to attend vocational programmes), care services (e.g. to attend a treatment service), half-way houses, and </w:t>
      </w:r>
      <w:r w:rsidRPr="00EB29FB">
        <w:rPr>
          <w:b/>
        </w:rPr>
        <w:t>extended conditional release</w:t>
      </w:r>
      <w:r w:rsidRPr="008A37EC">
        <w:t xml:space="preserve"> (where a prisoner can serve her sentence at home under intensive supervision and </w:t>
      </w:r>
      <w:r w:rsidR="0006518E">
        <w:t>EM</w:t>
      </w:r>
      <w:r w:rsidRPr="008A37EC">
        <w:t xml:space="preserve"> provided she attends educational/vocational/treatment programmes).  Prisoners can also go </w:t>
      </w:r>
      <w:r w:rsidRPr="00EB29FB">
        <w:rPr>
          <w:b/>
        </w:rPr>
        <w:t>‘on leave’</w:t>
      </w:r>
      <w:r w:rsidRPr="008A37EC">
        <w:t xml:space="preserve"> (e.g. to maintain family ties, arrange accommodation, interviews etc.).  Rehabilitation is provided by one probation service (a government agency) and thousands of volunteers (‘lay supervisors’).  Very few women </w:t>
      </w:r>
      <w:r w:rsidR="001512BE">
        <w:t>abscond</w:t>
      </w:r>
      <w:r w:rsidRPr="008A37EC">
        <w:t xml:space="preserve"> from prison or when on leave</w:t>
      </w:r>
      <w:r w:rsidRPr="008A37EC">
        <w:rPr>
          <w:vertAlign w:val="superscript"/>
        </w:rPr>
        <w:endnoteReference w:id="33"/>
      </w:r>
      <w:r w:rsidRPr="008A37EC">
        <w:t xml:space="preserve">.  </w:t>
      </w:r>
    </w:p>
    <w:p w14:paraId="2704289E" w14:textId="77777777" w:rsidR="008A37EC" w:rsidRDefault="008A37EC" w:rsidP="00402D02">
      <w:pPr>
        <w:pStyle w:val="SGBodytext"/>
      </w:pPr>
      <w:r w:rsidRPr="008A37EC">
        <w:rPr>
          <w:b/>
        </w:rPr>
        <w:t xml:space="preserve">Finland </w:t>
      </w:r>
      <w:r w:rsidRPr="008A37EC">
        <w:t xml:space="preserve">introduced the Supervised Probationary Freedom programme in 2006 which is </w:t>
      </w:r>
      <w:r w:rsidR="00BD2793">
        <w:t>a</w:t>
      </w:r>
      <w:r w:rsidRPr="008A37EC">
        <w:t xml:space="preserve"> </w:t>
      </w:r>
      <w:r w:rsidRPr="008A37EC">
        <w:rPr>
          <w:b/>
        </w:rPr>
        <w:t>gradual release scheme</w:t>
      </w:r>
      <w:r w:rsidRPr="008A37EC">
        <w:t>.  Prisoners in the last six months of their sentence are able to return to their communities and participate in meaningful activities such as employment, education, or care-giving.  They retain some sanctions – they have a curfew and must call their probation officers at least once a day.  They may also be subject to random drug tests undertaken by ‘travelling parole units’.</w:t>
      </w:r>
      <w:r w:rsidRPr="008A37EC">
        <w:rPr>
          <w:vertAlign w:val="superscript"/>
        </w:rPr>
        <w:endnoteReference w:id="34"/>
      </w:r>
    </w:p>
    <w:p w14:paraId="501A8598" w14:textId="34EA9A0A" w:rsidR="00072B27" w:rsidRPr="008A37EC" w:rsidRDefault="0021366E" w:rsidP="00402D02">
      <w:pPr>
        <w:pStyle w:val="SGBodytext"/>
      </w:pPr>
      <w:r w:rsidRPr="00624FBF">
        <w:rPr>
          <w:b/>
        </w:rPr>
        <w:lastRenderedPageBreak/>
        <w:t>Ireland</w:t>
      </w:r>
      <w:r w:rsidRPr="008A37EC">
        <w:t xml:space="preserve"> has a </w:t>
      </w:r>
      <w:r w:rsidRPr="00624FBF">
        <w:t>lower rate of female imprisonment than Scotland</w:t>
      </w:r>
      <w:r w:rsidRPr="000102BD">
        <w:t>.</w:t>
      </w:r>
      <w:r w:rsidRPr="008A37EC">
        <w:t xml:space="preserve">  It also has a lower proportion of women in prison, with women constituting 3.</w:t>
      </w:r>
      <w:r w:rsidR="000102BD">
        <w:t>3</w:t>
      </w:r>
      <w:r w:rsidRPr="008A37EC">
        <w:t>% of the prison population in Ireland, compared to 5.</w:t>
      </w:r>
      <w:r w:rsidR="000102BD">
        <w:t>2</w:t>
      </w:r>
      <w:r w:rsidRPr="008A37EC">
        <w:t>% in Scotland</w:t>
      </w:r>
      <w:r w:rsidR="003E7676">
        <w:t xml:space="preserve"> (see </w:t>
      </w:r>
      <w:hyperlink w:anchor="tab" w:history="1">
        <w:r w:rsidR="003E7676" w:rsidRPr="00241A70">
          <w:rPr>
            <w:rStyle w:val="Hyperlink"/>
            <w:b/>
            <w:color w:val="auto"/>
            <w:u w:val="none"/>
          </w:rPr>
          <w:t>Table 1</w:t>
        </w:r>
      </w:hyperlink>
      <w:r w:rsidR="000102BD" w:rsidRPr="00241A70">
        <w:t>)</w:t>
      </w:r>
      <w:r w:rsidRPr="00241A70">
        <w:t>.</w:t>
      </w:r>
      <w:r w:rsidRPr="008A37EC">
        <w:t xml:space="preserve">  This has been attributed to long-term legislative and judicial changes in the way women are dealt with in the </w:t>
      </w:r>
      <w:r w:rsidR="0006518E">
        <w:t xml:space="preserve">Irish </w:t>
      </w:r>
      <w:r w:rsidRPr="008A37EC">
        <w:t>criminal justice system and, in particular, its ‘</w:t>
      </w:r>
      <w:r w:rsidRPr="008A37EC">
        <w:rPr>
          <w:b/>
        </w:rPr>
        <w:t>community return’ programme</w:t>
      </w:r>
      <w:r w:rsidR="00204397" w:rsidRPr="008A37EC">
        <w:rPr>
          <w:vertAlign w:val="superscript"/>
        </w:rPr>
        <w:endnoteReference w:id="35"/>
      </w:r>
      <w:r w:rsidR="00204397" w:rsidRPr="008A37EC">
        <w:t xml:space="preserve"> </w:t>
      </w:r>
      <w:r w:rsidRPr="008A37EC">
        <w:t xml:space="preserve">which has seen a large proportion of women (about a third) who were committed to prison </w:t>
      </w:r>
      <w:r w:rsidR="0006518E">
        <w:t xml:space="preserve">put </w:t>
      </w:r>
      <w:r w:rsidRPr="008A37EC">
        <w:t>on temporary release to the community (which involves intensive supervision with unpaid work)</w:t>
      </w:r>
      <w:r w:rsidR="00204397" w:rsidRPr="008A37EC">
        <w:rPr>
          <w:vertAlign w:val="superscript"/>
        </w:rPr>
        <w:endnoteReference w:id="36"/>
      </w:r>
      <w:r w:rsidR="00204397" w:rsidRPr="008A37EC">
        <w:t>.</w:t>
      </w:r>
      <w:r w:rsidRPr="008A37EC">
        <w:t xml:space="preserve">  That being said, there have been criticisms of the Irish prison system</w:t>
      </w:r>
      <w:r w:rsidR="00204397">
        <w:t xml:space="preserve"> more generally</w:t>
      </w:r>
      <w:r w:rsidRPr="008A37EC">
        <w:t xml:space="preserve">, most notably overcrowding, and </w:t>
      </w:r>
      <w:r w:rsidR="000102BD">
        <w:t xml:space="preserve">the fact that </w:t>
      </w:r>
      <w:r w:rsidRPr="008A37EC">
        <w:t>its female prison population has continued to increase over the last 10 years</w:t>
      </w:r>
      <w:r w:rsidR="00624FBF" w:rsidRPr="008A37EC">
        <w:rPr>
          <w:vertAlign w:val="superscript"/>
        </w:rPr>
        <w:endnoteReference w:id="37"/>
      </w:r>
      <w:r w:rsidR="00624FBF" w:rsidRPr="008A37EC">
        <w:t>.</w:t>
      </w:r>
      <w:r w:rsidR="00241A70">
        <w:t xml:space="preserve"> </w:t>
      </w:r>
      <w:r w:rsidR="00241A70">
        <w:br/>
      </w:r>
      <w:r w:rsidR="00241A70">
        <w:br/>
      </w:r>
      <w:r w:rsidR="00241A70" w:rsidRPr="00241A70">
        <w:rPr>
          <w:rFonts w:eastAsiaTheme="majorEastAsia" w:cs="Times New Roman"/>
          <w:b/>
          <w:noProof w:val="0"/>
          <w:color w:val="064367"/>
          <w:sz w:val="30"/>
          <w:szCs w:val="20"/>
          <w:lang w:eastAsia="en-US"/>
        </w:rPr>
        <w:t>Community residential units</w:t>
      </w:r>
      <w:bookmarkStart w:id="25" w:name="_Toc429555809"/>
      <w:r w:rsidR="00241A70">
        <w:rPr>
          <w:rFonts w:eastAsiaTheme="majorEastAsia"/>
        </w:rPr>
        <w:br/>
      </w:r>
      <w:bookmarkEnd w:id="25"/>
      <w:r w:rsidR="00072B27" w:rsidRPr="008A37EC">
        <w:t xml:space="preserve">Community residential facilities – such as halfway houses and small residential units or </w:t>
      </w:r>
      <w:r w:rsidR="00204397">
        <w:t xml:space="preserve">‘transitional’ </w:t>
      </w:r>
      <w:r w:rsidR="00072B27" w:rsidRPr="008A37EC">
        <w:t>centres – provide small</w:t>
      </w:r>
      <w:r w:rsidR="00823C94">
        <w:t>, structured,</w:t>
      </w:r>
      <w:r w:rsidR="00072B27" w:rsidRPr="008A37EC">
        <w:t xml:space="preserve"> (mostly) secure environments for women to complete their sentence within their communities.  The nature and spread of community-based units varies across countries.  Typically, however, they are used to prepare (low risk) women for release, with women living in an open environment </w:t>
      </w:r>
      <w:r w:rsidR="004A68F1">
        <w:t xml:space="preserve">- </w:t>
      </w:r>
      <w:r w:rsidR="00072B27" w:rsidRPr="008A37EC">
        <w:t>sometimes with their children.  Although similar to open prisons, they may not necessarily be managed by prison staff and tend to be smaller in size.</w:t>
      </w:r>
    </w:p>
    <w:p w14:paraId="24840654" w14:textId="77777777" w:rsidR="004A68F1" w:rsidRDefault="00072B27" w:rsidP="00402D02">
      <w:pPr>
        <w:pStyle w:val="SGBodytext"/>
      </w:pPr>
      <w:r w:rsidRPr="008A37EC">
        <w:t xml:space="preserve">Evidence suggests that community </w:t>
      </w:r>
      <w:r w:rsidRPr="00EB29FB">
        <w:t xml:space="preserve">residential </w:t>
      </w:r>
      <w:r w:rsidR="004A68F1" w:rsidRPr="00EB29FB">
        <w:t>facilities</w:t>
      </w:r>
      <w:r w:rsidRPr="00EB29FB">
        <w:t xml:space="preserve"> are most effective (at reducing reoffending) when they take a “holistic, trauma-informed, strengths-based, relational, and women-centred approach”</w:t>
      </w:r>
      <w:r w:rsidRPr="00EB29FB">
        <w:rPr>
          <w:vertAlign w:val="superscript"/>
        </w:rPr>
        <w:endnoteReference w:id="38"/>
      </w:r>
      <w:r w:rsidRPr="00EB29FB">
        <w:t xml:space="preserve">.  </w:t>
      </w:r>
      <w:r w:rsidR="00624FBF" w:rsidRPr="00EB29FB">
        <w:t>A</w:t>
      </w:r>
      <w:r w:rsidR="00823C94" w:rsidRPr="00EB29FB">
        <w:t xml:space="preserve">n influential </w:t>
      </w:r>
      <w:r w:rsidR="00624FBF" w:rsidRPr="00EB29FB">
        <w:t xml:space="preserve">US study found that </w:t>
      </w:r>
      <w:r w:rsidR="00D94624" w:rsidRPr="00EB29FB">
        <w:t xml:space="preserve">desistence </w:t>
      </w:r>
      <w:r w:rsidR="00624FBF" w:rsidRPr="00EB29FB">
        <w:t xml:space="preserve">was more likely in community residential alternatives that </w:t>
      </w:r>
      <w:r w:rsidR="00D94624" w:rsidRPr="00EB29FB">
        <w:t>had a clear structure</w:t>
      </w:r>
      <w:r w:rsidR="00823C94" w:rsidRPr="00EB29FB">
        <w:t xml:space="preserve"> and purpose, stable funding, ongoing evaluation and an emphasis on ‘aftercare’ and role-modelling approaches</w:t>
      </w:r>
      <w:r w:rsidR="00823C94" w:rsidRPr="00EB29FB">
        <w:rPr>
          <w:rStyle w:val="EndnoteReference"/>
        </w:rPr>
        <w:endnoteReference w:id="39"/>
      </w:r>
      <w:r w:rsidR="00823C94" w:rsidRPr="00EB29FB">
        <w:t xml:space="preserve">.  </w:t>
      </w:r>
      <w:r w:rsidRPr="00EB29FB">
        <w:t xml:space="preserve">Some </w:t>
      </w:r>
      <w:r w:rsidR="008015D8" w:rsidRPr="00EB29FB">
        <w:t>research suggests that c</w:t>
      </w:r>
      <w:r w:rsidRPr="00EB29FB">
        <w:t xml:space="preserve">ommunity facilities </w:t>
      </w:r>
      <w:r w:rsidR="008015D8" w:rsidRPr="00EB29FB">
        <w:t xml:space="preserve"> can work well</w:t>
      </w:r>
      <w:r w:rsidRPr="00EB29FB">
        <w:t xml:space="preserve"> </w:t>
      </w:r>
      <w:r w:rsidR="008015D8" w:rsidRPr="00EB29FB">
        <w:t>when</w:t>
      </w:r>
      <w:r w:rsidR="004A68F1" w:rsidRPr="00EB29FB">
        <w:t xml:space="preserve"> security and support </w:t>
      </w:r>
      <w:r w:rsidR="008015D8" w:rsidRPr="00EB29FB">
        <w:t>functions operate separately</w:t>
      </w:r>
      <w:r w:rsidR="004A68F1" w:rsidRPr="00EB29FB">
        <w:t xml:space="preserve"> e.g. when </w:t>
      </w:r>
      <w:r w:rsidR="00624FBF" w:rsidRPr="00EB29FB">
        <w:rPr>
          <w:noProof w:val="0"/>
        </w:rPr>
        <w:t>facili</w:t>
      </w:r>
      <w:r w:rsidR="008015D8" w:rsidRPr="00EB29FB">
        <w:rPr>
          <w:noProof w:val="0"/>
        </w:rPr>
        <w:t>t</w:t>
      </w:r>
      <w:r w:rsidR="00624FBF" w:rsidRPr="00EB29FB">
        <w:rPr>
          <w:noProof w:val="0"/>
        </w:rPr>
        <w:t>i</w:t>
      </w:r>
      <w:r w:rsidR="008015D8" w:rsidRPr="00EB29FB">
        <w:rPr>
          <w:noProof w:val="0"/>
        </w:rPr>
        <w:t>es</w:t>
      </w:r>
      <w:r w:rsidR="008015D8" w:rsidRPr="00EB29FB">
        <w:t xml:space="preserve"> are </w:t>
      </w:r>
      <w:r w:rsidR="004A68F1" w:rsidRPr="00EB29FB">
        <w:t xml:space="preserve">staffed by practitioners </w:t>
      </w:r>
      <w:r w:rsidR="008015D8" w:rsidRPr="00EB29FB">
        <w:t>rather than custodial workers</w:t>
      </w:r>
      <w:r w:rsidR="008015D8" w:rsidRPr="00EB29FB">
        <w:rPr>
          <w:vertAlign w:val="superscript"/>
        </w:rPr>
        <w:endnoteReference w:id="40"/>
      </w:r>
      <w:r w:rsidR="008015D8" w:rsidRPr="00EB29FB">
        <w:t xml:space="preserve">.  </w:t>
      </w:r>
      <w:r w:rsidR="00987706" w:rsidRPr="00EB29FB">
        <w:t xml:space="preserve">That </w:t>
      </w:r>
      <w:r w:rsidR="00987706">
        <w:t xml:space="preserve">being said, </w:t>
      </w:r>
      <w:r w:rsidR="001F6460">
        <w:t xml:space="preserve">research also highlights that </w:t>
      </w:r>
      <w:r w:rsidR="00987706">
        <w:t>some halfway houses (e.g. in Australia) are managed successfully by correctional services (see below).</w:t>
      </w:r>
    </w:p>
    <w:p w14:paraId="77F38819" w14:textId="77777777" w:rsidR="00072B27" w:rsidRPr="008A37EC" w:rsidRDefault="00072B27" w:rsidP="00402D02">
      <w:pPr>
        <w:pStyle w:val="SGBodytext"/>
      </w:pPr>
      <w:r w:rsidRPr="008A37EC">
        <w:rPr>
          <w:b/>
        </w:rPr>
        <w:t>Australia</w:t>
      </w:r>
      <w:r w:rsidRPr="008A37EC">
        <w:t xml:space="preserve"> has a number of pre-release community residential units.  These centres prepare </w:t>
      </w:r>
      <w:r w:rsidR="00987706">
        <w:t xml:space="preserve">low-risk </w:t>
      </w:r>
      <w:r w:rsidRPr="008A37EC">
        <w:t>women for release, providing a range of services to enhance community reintegration.  At the Parramatta Women’s Transitional Centre (PWTC) in New South Wales, for example, there are two houses which accommodate up to twenty one women</w:t>
      </w:r>
      <w:r w:rsidR="00987706">
        <w:t xml:space="preserve"> in total</w:t>
      </w:r>
      <w:r w:rsidRPr="008A37EC">
        <w:t xml:space="preserve">, including women with children.  Women live in an open environment and are given responsibility for running the house.  There are strict eligibility criteria for women (women must be minimum security, towards the end of their sentence, not have any active drug or alcohol problems and assessed as suitable to live with children).  Women go into the community for treatment (e.g. counselling), education, employment and recreation.  The centre </w:t>
      </w:r>
      <w:r w:rsidR="00514B82">
        <w:t xml:space="preserve">is run by female staff and </w:t>
      </w:r>
      <w:r w:rsidRPr="008A37EC">
        <w:t>has very low recidivism rates</w:t>
      </w:r>
      <w:r w:rsidRPr="008A37EC">
        <w:rPr>
          <w:vertAlign w:val="superscript"/>
        </w:rPr>
        <w:endnoteReference w:id="41"/>
      </w:r>
      <w:r w:rsidRPr="008A37EC">
        <w:t xml:space="preserve">.  </w:t>
      </w:r>
    </w:p>
    <w:p w14:paraId="54B92124" w14:textId="77777777" w:rsidR="00072B27" w:rsidRPr="008A37EC" w:rsidRDefault="00072B27" w:rsidP="00402D02">
      <w:pPr>
        <w:pStyle w:val="SGBodytext"/>
      </w:pPr>
      <w:r w:rsidRPr="008A37EC">
        <w:t xml:space="preserve">In </w:t>
      </w:r>
      <w:r w:rsidRPr="008A37EC">
        <w:rPr>
          <w:b/>
        </w:rPr>
        <w:t>Germany</w:t>
      </w:r>
      <w:r w:rsidRPr="008A37EC">
        <w:t>, mothers and their children can live together in halfway houses.  Women must comply with a curfew at night, but work (or access training and support) during the day whilst children attend nursery/school</w:t>
      </w:r>
      <w:r w:rsidRPr="008A37EC">
        <w:rPr>
          <w:vertAlign w:val="superscript"/>
        </w:rPr>
        <w:endnoteReference w:id="42"/>
      </w:r>
      <w:r w:rsidRPr="008A37EC">
        <w:t>.  This approach has been recognised as an innovative approach that minimises the harm of a mother’s imprisonment on children whilst ensuring that women serve their sentence</w:t>
      </w:r>
      <w:r w:rsidRPr="008A37EC">
        <w:rPr>
          <w:vertAlign w:val="superscript"/>
        </w:rPr>
        <w:endnoteReference w:id="43"/>
      </w:r>
      <w:r w:rsidRPr="008A37EC">
        <w:t>.</w:t>
      </w:r>
    </w:p>
    <w:p w14:paraId="5D3937DF" w14:textId="77777777" w:rsidR="00072B27" w:rsidRPr="008A37EC" w:rsidRDefault="00072B27" w:rsidP="00402D02">
      <w:pPr>
        <w:pStyle w:val="SGBodytext"/>
      </w:pPr>
      <w:r w:rsidRPr="008A37EC">
        <w:rPr>
          <w:b/>
        </w:rPr>
        <w:lastRenderedPageBreak/>
        <w:t>Canada</w:t>
      </w:r>
      <w:r w:rsidRPr="008A37EC">
        <w:t xml:space="preserve"> has a range of community based residential facilities, such as halfway houses </w:t>
      </w:r>
      <w:r w:rsidR="009F6AD7">
        <w:t xml:space="preserve">which are state-funded and run by NGOs </w:t>
      </w:r>
      <w:r w:rsidRPr="008A37EC">
        <w:t xml:space="preserve">(inc. private home placements, supervised apartments and alternative community beds).  Here, the importance of creating supported independent living </w:t>
      </w:r>
      <w:r w:rsidR="005B0708">
        <w:t>facilities</w:t>
      </w:r>
      <w:r w:rsidR="005B0708" w:rsidRPr="008A37EC">
        <w:t xml:space="preserve"> </w:t>
      </w:r>
      <w:r w:rsidRPr="008A37EC">
        <w:t>is key</w:t>
      </w:r>
      <w:r w:rsidRPr="008A37EC">
        <w:rPr>
          <w:vertAlign w:val="superscript"/>
        </w:rPr>
        <w:endnoteReference w:id="44"/>
      </w:r>
      <w:r w:rsidRPr="008A37EC">
        <w:t xml:space="preserve">.  Examples include Ellen House in Ontario </w:t>
      </w:r>
      <w:r w:rsidR="000102BD">
        <w:t>(</w:t>
      </w:r>
      <w:r w:rsidRPr="008A37EC">
        <w:t>which offers substance abuse support and case management while housing women offenders in the community</w:t>
      </w:r>
      <w:r w:rsidR="000102BD">
        <w:t>)</w:t>
      </w:r>
      <w:r w:rsidRPr="008A37EC">
        <w:t xml:space="preserve">,  </w:t>
      </w:r>
      <w:r w:rsidR="009F6AD7">
        <w:t xml:space="preserve">Phyllis Haslam Residence at Elizabeth Fry Toronto for wome on parole, </w:t>
      </w:r>
      <w:r w:rsidRPr="008A37EC">
        <w:t>and The Coverdale Centre</w:t>
      </w:r>
      <w:r w:rsidRPr="008A37EC">
        <w:rPr>
          <w:vertAlign w:val="superscript"/>
        </w:rPr>
        <w:endnoteReference w:id="45"/>
      </w:r>
      <w:r w:rsidRPr="008A37EC">
        <w:t>.</w:t>
      </w:r>
    </w:p>
    <w:p w14:paraId="77213F06" w14:textId="77777777" w:rsidR="00072B27" w:rsidRPr="008A37EC" w:rsidRDefault="00072B27" w:rsidP="00402D02">
      <w:pPr>
        <w:pStyle w:val="SGBodytext"/>
      </w:pPr>
      <w:r w:rsidRPr="008A37EC">
        <w:t xml:space="preserve">There a number of examples </w:t>
      </w:r>
      <w:r w:rsidR="000102BD">
        <w:t>o</w:t>
      </w:r>
      <w:r w:rsidR="000102BD" w:rsidRPr="008A37EC">
        <w:t xml:space="preserve">f open residential facilities </w:t>
      </w:r>
      <w:r w:rsidRPr="008A37EC">
        <w:t xml:space="preserve">in </w:t>
      </w:r>
      <w:r w:rsidRPr="00FB6B68">
        <w:t>New York</w:t>
      </w:r>
      <w:r w:rsidRPr="008A37EC">
        <w:t xml:space="preserve"> </w:t>
      </w:r>
      <w:r w:rsidR="00FB6B68">
        <w:t xml:space="preserve">in the </w:t>
      </w:r>
      <w:r w:rsidR="00FB6B68" w:rsidRPr="00FB6B68">
        <w:rPr>
          <w:b/>
        </w:rPr>
        <w:t>United States</w:t>
      </w:r>
      <w:r w:rsidR="00FB6B68">
        <w:t xml:space="preserve"> </w:t>
      </w:r>
      <w:r w:rsidRPr="008A37EC">
        <w:t>for women and their families (mostly for women with experience of homelessness, mental health and substance abuse problems).  For example</w:t>
      </w:r>
      <w:r w:rsidR="000102BD">
        <w:t>,</w:t>
      </w:r>
      <w:r w:rsidRPr="008A37EC">
        <w:t xml:space="preserve"> Drew House houses up to five women and their families</w:t>
      </w:r>
      <w:r w:rsidR="009F6AD7">
        <w:t xml:space="preserve"> (inc. higher risk women)</w:t>
      </w:r>
      <w:r w:rsidRPr="008A37EC">
        <w:t xml:space="preserve"> in </w:t>
      </w:r>
      <w:r w:rsidR="009F6AD7">
        <w:t>a non-secure</w:t>
      </w:r>
      <w:r w:rsidRPr="008A37EC">
        <w:t xml:space="preserve"> apartment</w:t>
      </w:r>
      <w:r w:rsidR="009F6AD7">
        <w:t xml:space="preserve">.  It is cited as a cost-effective way of reducing reoffending with proven success in recidivism, and education and well-being outcomes.  </w:t>
      </w:r>
      <w:r w:rsidRPr="008A37EC">
        <w:t xml:space="preserve">Greenhope Kandake House houses up to 72 women including 28 with their children, and </w:t>
      </w:r>
      <w:r w:rsidR="009F6AD7">
        <w:t xml:space="preserve">also </w:t>
      </w:r>
      <w:r w:rsidRPr="008A37EC">
        <w:t>reports low recidivism rates</w:t>
      </w:r>
      <w:r w:rsidRPr="008A37EC">
        <w:rPr>
          <w:vertAlign w:val="superscript"/>
        </w:rPr>
        <w:endnoteReference w:id="46"/>
      </w:r>
      <w:r w:rsidRPr="008A37EC">
        <w:t>.  Other examples include those targeted at women with substance abuse problems such as ARC which has four residential alternatives</w:t>
      </w:r>
      <w:r w:rsidR="009F6AD7">
        <w:t xml:space="preserve"> (housing up to 51 women)</w:t>
      </w:r>
      <w:r w:rsidRPr="008A37EC">
        <w:t xml:space="preserve">, including a small </w:t>
      </w:r>
      <w:r w:rsidR="009F6AD7">
        <w:t>minimum-security facility for women transitioning from prison</w:t>
      </w:r>
      <w:r w:rsidRPr="008A37EC">
        <w:rPr>
          <w:vertAlign w:val="superscript"/>
        </w:rPr>
        <w:endnoteReference w:id="47"/>
      </w:r>
      <w:r w:rsidRPr="008A37EC">
        <w:t>.</w:t>
      </w:r>
    </w:p>
    <w:p w14:paraId="517BC14A" w14:textId="77777777" w:rsidR="00D41C68" w:rsidRDefault="00072B27" w:rsidP="00402D02">
      <w:pPr>
        <w:pStyle w:val="SGBodytext"/>
      </w:pPr>
      <w:r w:rsidRPr="008A37EC">
        <w:t xml:space="preserve">In </w:t>
      </w:r>
      <w:r w:rsidRPr="008A37EC">
        <w:rPr>
          <w:b/>
        </w:rPr>
        <w:t>Scotland</w:t>
      </w:r>
      <w:r w:rsidRPr="008A37EC">
        <w:t xml:space="preserve">, the 218 Service (a women’s centre) has a </w:t>
      </w:r>
      <w:r w:rsidRPr="009049E1">
        <w:t>quasi custodial</w:t>
      </w:r>
      <w:r w:rsidRPr="00EE636D">
        <w:t xml:space="preserve"> </w:t>
      </w:r>
      <w:r w:rsidRPr="008A37EC">
        <w:t>12 bed residential unit and a day programme providing a range of compulsory and optional group work sessions and one-to-one support</w:t>
      </w:r>
      <w:r w:rsidRPr="008A37EC">
        <w:rPr>
          <w:vertAlign w:val="superscript"/>
        </w:rPr>
        <w:endnoteReference w:id="48"/>
      </w:r>
      <w:r w:rsidRPr="008A37EC">
        <w:t xml:space="preserve">.  This is not, however, a secure custodial unit.  </w:t>
      </w:r>
    </w:p>
    <w:p w14:paraId="13B31452" w14:textId="77777777" w:rsidR="00204397" w:rsidRPr="00E46E1B" w:rsidRDefault="00D41C68" w:rsidP="00402D02">
      <w:pPr>
        <w:pStyle w:val="SGBodytext"/>
        <w:rPr>
          <w:noProof w:val="0"/>
        </w:rPr>
      </w:pPr>
      <w:r w:rsidRPr="00E46E1B">
        <w:t xml:space="preserve">In </w:t>
      </w:r>
      <w:r w:rsidRPr="00E46E1B">
        <w:rPr>
          <w:b/>
        </w:rPr>
        <w:t>England and Wales</w:t>
      </w:r>
      <w:r w:rsidRPr="00E46E1B">
        <w:t>, t</w:t>
      </w:r>
      <w:r w:rsidR="00CE44F9" w:rsidRPr="00E46E1B">
        <w:t>he Corston Report (2007)</w:t>
      </w:r>
      <w:r w:rsidRPr="009049E1">
        <w:rPr>
          <w:rStyle w:val="EndnoteReference"/>
        </w:rPr>
        <w:endnoteReference w:id="49"/>
      </w:r>
      <w:r w:rsidR="00CE44F9" w:rsidRPr="00E46E1B">
        <w:t xml:space="preserve"> originally envisaged women’s centres as offering </w:t>
      </w:r>
      <w:r w:rsidR="00204397" w:rsidRPr="00E46E1B">
        <w:t xml:space="preserve">community-based </w:t>
      </w:r>
      <w:r w:rsidR="00CE44F9" w:rsidRPr="00E46E1B">
        <w:t xml:space="preserve">residential facilities for women on bail or </w:t>
      </w:r>
      <w:r w:rsidR="005C6508" w:rsidRPr="00E46E1B">
        <w:t xml:space="preserve">women </w:t>
      </w:r>
      <w:r w:rsidR="00CE44F9" w:rsidRPr="00E46E1B">
        <w:t xml:space="preserve">released from prison with no suitable </w:t>
      </w:r>
      <w:r w:rsidRPr="00E46E1B">
        <w:t>accommodation</w:t>
      </w:r>
      <w:r w:rsidR="00EF5B8D" w:rsidRPr="00E46E1B">
        <w:t xml:space="preserve">.  </w:t>
      </w:r>
      <w:r w:rsidRPr="00E46E1B">
        <w:t xml:space="preserve">However, </w:t>
      </w:r>
      <w:r w:rsidR="000F07F5">
        <w:t>the</w:t>
      </w:r>
      <w:r w:rsidRPr="00E46E1B">
        <w:t xml:space="preserve"> Prison Reform Trust review </w:t>
      </w:r>
      <w:r w:rsidR="00204397" w:rsidRPr="00E46E1B">
        <w:t>in 201</w:t>
      </w:r>
      <w:r w:rsidR="00756A47" w:rsidRPr="00E46E1B">
        <w:t>4</w:t>
      </w:r>
      <w:r w:rsidR="00204397" w:rsidRPr="00E46E1B">
        <w:t xml:space="preserve"> </w:t>
      </w:r>
      <w:r w:rsidR="00756A47" w:rsidRPr="00E46E1B">
        <w:t xml:space="preserve">of </w:t>
      </w:r>
      <w:r w:rsidR="002F2622" w:rsidRPr="00E46E1B">
        <w:t>women’s justice services</w:t>
      </w:r>
      <w:r w:rsidR="00756A47" w:rsidRPr="00E46E1B">
        <w:t xml:space="preserve"> in the UK</w:t>
      </w:r>
      <w:r w:rsidRPr="009049E1">
        <w:rPr>
          <w:rStyle w:val="EndnoteReference"/>
        </w:rPr>
        <w:endnoteReference w:id="50"/>
      </w:r>
      <w:r w:rsidRPr="00E46E1B">
        <w:t xml:space="preserve"> </w:t>
      </w:r>
      <w:r w:rsidR="00204397" w:rsidRPr="00E46E1B">
        <w:t>highlights the shortage of ‘approved premises’ (formerly known as probation or bail hostels</w:t>
      </w:r>
      <w:r w:rsidR="00756A47" w:rsidRPr="00E46E1B">
        <w:t>), which</w:t>
      </w:r>
      <w:r w:rsidR="005B0708">
        <w:t xml:space="preserve">, it argues, </w:t>
      </w:r>
      <w:r w:rsidR="00756A47" w:rsidRPr="00E46E1B">
        <w:t>increase</w:t>
      </w:r>
      <w:r w:rsidR="00750B3E">
        <w:t>s</w:t>
      </w:r>
      <w:r w:rsidR="00756A47" w:rsidRPr="00E46E1B">
        <w:t xml:space="preserve"> the </w:t>
      </w:r>
      <w:r w:rsidR="00756A47" w:rsidRPr="00E46E1B">
        <w:rPr>
          <w:noProof w:val="0"/>
        </w:rPr>
        <w:t>lik</w:t>
      </w:r>
      <w:r w:rsidR="00750B3E">
        <w:rPr>
          <w:noProof w:val="0"/>
        </w:rPr>
        <w:t>e</w:t>
      </w:r>
      <w:r w:rsidR="00756A47" w:rsidRPr="00E46E1B">
        <w:rPr>
          <w:noProof w:val="0"/>
        </w:rPr>
        <w:t>lihood</w:t>
      </w:r>
      <w:r w:rsidR="00756A47" w:rsidRPr="00E46E1B">
        <w:t xml:space="preserve"> of remand.  The report fails to mention any women’s centre that </w:t>
      </w:r>
      <w:r w:rsidR="000F07F5">
        <w:t xml:space="preserve">currently </w:t>
      </w:r>
      <w:r w:rsidR="00756A47" w:rsidRPr="00E46E1B">
        <w:t>provide</w:t>
      </w:r>
      <w:r w:rsidR="000F07F5">
        <w:t>s</w:t>
      </w:r>
      <w:r w:rsidR="00756A47" w:rsidRPr="00E46E1B">
        <w:t xml:space="preserve"> accommodation in England or Wales, but states that some could do so if funding were available.</w:t>
      </w:r>
    </w:p>
    <w:p w14:paraId="581F387F" w14:textId="77777777" w:rsidR="008A37EC" w:rsidRPr="008A37EC" w:rsidRDefault="008A37EC" w:rsidP="00072B27">
      <w:pPr>
        <w:pStyle w:val="Heading2blue"/>
        <w:rPr>
          <w:rFonts w:eastAsiaTheme="majorEastAsia"/>
        </w:rPr>
      </w:pPr>
      <w:bookmarkStart w:id="26" w:name="_Toc429555810"/>
      <w:r w:rsidRPr="008A37EC">
        <w:rPr>
          <w:rFonts w:eastAsiaTheme="majorEastAsia"/>
        </w:rPr>
        <w:t xml:space="preserve">Open </w:t>
      </w:r>
      <w:r w:rsidR="000F07F5">
        <w:rPr>
          <w:rFonts w:eastAsiaTheme="majorEastAsia"/>
        </w:rPr>
        <w:t>p</w:t>
      </w:r>
      <w:r w:rsidRPr="008A37EC">
        <w:rPr>
          <w:rFonts w:eastAsiaTheme="majorEastAsia"/>
        </w:rPr>
        <w:t>risons</w:t>
      </w:r>
      <w:bookmarkEnd w:id="26"/>
    </w:p>
    <w:p w14:paraId="40C74E82" w14:textId="77777777" w:rsidR="008A37EC" w:rsidRPr="008A37EC" w:rsidRDefault="008A37EC" w:rsidP="00402D02">
      <w:pPr>
        <w:pStyle w:val="SGBodytext"/>
      </w:pPr>
      <w:r w:rsidRPr="008A37EC">
        <w:t>There is no single definition of an open prison; however, they tend to be penal establishments in which prisoners who are classified as low risk to the public can serve their sentence with minimal supervision, in some cases being able to work in the community returning to the prison in the evening.</w:t>
      </w:r>
    </w:p>
    <w:p w14:paraId="391B9A0F" w14:textId="77777777" w:rsidR="008A37EC" w:rsidRPr="008A37EC" w:rsidRDefault="008A37EC" w:rsidP="00402D02">
      <w:pPr>
        <w:pStyle w:val="SGBodytext"/>
      </w:pPr>
      <w:r w:rsidRPr="008A37EC">
        <w:t xml:space="preserve">In </w:t>
      </w:r>
      <w:r w:rsidRPr="008A37EC">
        <w:rPr>
          <w:b/>
        </w:rPr>
        <w:t xml:space="preserve">Scandinavian </w:t>
      </w:r>
      <w:r w:rsidRPr="008A37EC">
        <w:t xml:space="preserve">countries (in this case Finland, Norway and Sweden), open prisons hold between </w:t>
      </w:r>
      <w:r w:rsidR="007B72A6">
        <w:t>20-30</w:t>
      </w:r>
      <w:r w:rsidRPr="008A37EC">
        <w:t xml:space="preserve"> per cent of the prison population.  Prisoners who have committed low-level offences (e.g. drunk driving) may serve their entire sentence in an open prison.  However, most prisoners will serve the bulk of their sentence in a closed prison but may be moved to an open prison towards the end of their sentence to prepare for release, or as a result of good behaviour.  Between </w:t>
      </w:r>
      <w:r w:rsidR="00BD2793">
        <w:t>15 and 20</w:t>
      </w:r>
      <w:r w:rsidRPr="008A37EC">
        <w:t xml:space="preserve"> per cent of referrals from closed prisons are recalled due to breach each year (men and women)</w:t>
      </w:r>
      <w:r w:rsidRPr="008A37EC">
        <w:rPr>
          <w:vertAlign w:val="superscript"/>
        </w:rPr>
        <w:endnoteReference w:id="51"/>
      </w:r>
      <w:r w:rsidRPr="008A37EC">
        <w:t xml:space="preserve">.  </w:t>
      </w:r>
    </w:p>
    <w:p w14:paraId="72F1FA34" w14:textId="77777777" w:rsidR="008A37EC" w:rsidRPr="008A37EC" w:rsidRDefault="008A37EC" w:rsidP="00402D02">
      <w:pPr>
        <w:pStyle w:val="SGBodytext"/>
      </w:pPr>
      <w:r w:rsidRPr="008A37EC">
        <w:rPr>
          <w:b/>
        </w:rPr>
        <w:t xml:space="preserve">Finland </w:t>
      </w:r>
      <w:r w:rsidRPr="008A37EC">
        <w:t xml:space="preserve">has </w:t>
      </w:r>
      <w:r w:rsidR="000102BD">
        <w:t xml:space="preserve">one of </w:t>
      </w:r>
      <w:r w:rsidRPr="008A37EC">
        <w:t>the lowest prison population</w:t>
      </w:r>
      <w:r w:rsidR="000102BD">
        <w:t>s</w:t>
      </w:r>
      <w:r w:rsidRPr="008A37EC">
        <w:t xml:space="preserve"> in Europe.  However, this has not always been the case.  In the 1970s Finland had one of the highest prison populations but, following a series of expert-led penal reforms, the number of prisoners has fallen to </w:t>
      </w:r>
      <w:r w:rsidRPr="008A37EC">
        <w:lastRenderedPageBreak/>
        <w:t>Scandinavian levels (despite rising crime rates).  That being said, the number of women in prison has risen in recent years and they now make up seven per cent of the prison population</w:t>
      </w:r>
      <w:r w:rsidRPr="008A37EC">
        <w:rPr>
          <w:vertAlign w:val="superscript"/>
        </w:rPr>
        <w:endnoteReference w:id="52"/>
      </w:r>
      <w:r w:rsidRPr="008A37EC">
        <w:t xml:space="preserve">.  </w:t>
      </w:r>
    </w:p>
    <w:p w14:paraId="4818850A" w14:textId="77777777" w:rsidR="008A37EC" w:rsidRPr="008A37EC" w:rsidRDefault="008A37EC" w:rsidP="00402D02">
      <w:pPr>
        <w:pStyle w:val="SGBodytext"/>
      </w:pPr>
      <w:r w:rsidRPr="008A37EC">
        <w:t xml:space="preserve">About </w:t>
      </w:r>
      <w:r w:rsidR="007B72A6">
        <w:t>a quarter</w:t>
      </w:r>
      <w:r w:rsidRPr="008A37EC">
        <w:t xml:space="preserve"> of female prisoners live in open conditions in Finland</w:t>
      </w:r>
      <w:r w:rsidRPr="008A37EC">
        <w:rPr>
          <w:vertAlign w:val="superscript"/>
        </w:rPr>
        <w:endnoteReference w:id="53"/>
      </w:r>
      <w:r w:rsidRPr="008A37EC">
        <w:t xml:space="preserve">.  Most of these are held in Vanaja Prison which is an </w:t>
      </w:r>
      <w:r w:rsidRPr="008A37EC">
        <w:rPr>
          <w:b/>
        </w:rPr>
        <w:t xml:space="preserve">open female prison unit </w:t>
      </w:r>
      <w:r w:rsidRPr="008A37EC">
        <w:t xml:space="preserve">that accommodates up to 50 women.  Prisoners can move freely during the day but must </w:t>
      </w:r>
      <w:r w:rsidR="00BD2793">
        <w:t>return</w:t>
      </w:r>
      <w:r w:rsidRPr="008A37EC">
        <w:t xml:space="preserve"> at night.  Some drive to work with their movements being monitored by a special kind of mobile phone.  Any breach of the sanctions would result in them being returned to a closed prison</w:t>
      </w:r>
      <w:r w:rsidRPr="008A37EC">
        <w:rPr>
          <w:vertAlign w:val="superscript"/>
        </w:rPr>
        <w:endnoteReference w:id="54"/>
      </w:r>
      <w:r w:rsidRPr="008A37EC">
        <w:t xml:space="preserve">.  </w:t>
      </w:r>
    </w:p>
    <w:p w14:paraId="6FB4BD0D" w14:textId="77777777" w:rsidR="008A37EC" w:rsidRDefault="008A37EC" w:rsidP="00402D02">
      <w:pPr>
        <w:pStyle w:val="SGBodytext"/>
      </w:pPr>
      <w:r w:rsidRPr="008A37EC">
        <w:rPr>
          <w:b/>
        </w:rPr>
        <w:t>Germany</w:t>
      </w:r>
      <w:r w:rsidRPr="008A37EC">
        <w:t xml:space="preserve"> has a range of penal options across its sixteen states, including units for first time offenders (e.g. Erstvollzug).  Repeat offenders are held in separate prisons.  Frondenberg prison is heralded as an exemplar for women with children.  It is an open unit for up to 16 women who live with their children up to the age of six in self-contained flats.  It is as normal and unthreatening as possible (e.g. no bars on windows), with many children not knowing they are in a prison.  Most of the women have committed low level non-violent crimes such as theft or fraud.  Women are able to go outside and play with their children, and have ‘vacation’ days where they can leave the prison unsupervised.  Reoffending is reported to be significantly lower than than women who are not housed with their children</w:t>
      </w:r>
      <w:r w:rsidRPr="008A37EC">
        <w:rPr>
          <w:vertAlign w:val="superscript"/>
        </w:rPr>
        <w:endnoteReference w:id="55"/>
      </w:r>
      <w:r w:rsidRPr="008A37EC">
        <w:t>.</w:t>
      </w:r>
      <w:r w:rsidR="00682470">
        <w:t xml:space="preserve">  </w:t>
      </w:r>
    </w:p>
    <w:p w14:paraId="03C5958F" w14:textId="77777777" w:rsidR="00B640A5" w:rsidRPr="00EB29FB" w:rsidRDefault="00B640A5" w:rsidP="00B640A5">
      <w:pPr>
        <w:tabs>
          <w:tab w:val="clear" w:pos="720"/>
          <w:tab w:val="clear" w:pos="1440"/>
          <w:tab w:val="clear" w:pos="2160"/>
          <w:tab w:val="clear" w:pos="2880"/>
          <w:tab w:val="clear" w:pos="4680"/>
          <w:tab w:val="clear" w:pos="5400"/>
          <w:tab w:val="clear" w:pos="9000"/>
        </w:tabs>
        <w:spacing w:after="240" w:line="300" w:lineRule="exact"/>
        <w:rPr>
          <w:rFonts w:eastAsia="Times New Roman" w:cs="Arial"/>
          <w:sz w:val="24"/>
          <w:szCs w:val="24"/>
          <w:lang w:eastAsia="en-GB"/>
        </w:rPr>
      </w:pPr>
      <w:r w:rsidRPr="00EB29FB">
        <w:rPr>
          <w:rFonts w:eastAsia="Times New Roman" w:cs="Arial"/>
          <w:b/>
          <w:noProof/>
          <w:sz w:val="24"/>
          <w:szCs w:val="24"/>
          <w:lang w:eastAsia="en-GB"/>
        </w:rPr>
        <w:t>England</w:t>
      </w:r>
      <w:r w:rsidRPr="00EB29FB">
        <w:rPr>
          <w:rFonts w:eastAsia="Times New Roman" w:cs="Arial"/>
          <w:noProof/>
          <w:sz w:val="24"/>
          <w:szCs w:val="24"/>
          <w:lang w:eastAsia="en-GB"/>
        </w:rPr>
        <w:t xml:space="preserve"> has two women’s open prisons</w:t>
      </w:r>
      <w:r w:rsidRPr="00EB29FB">
        <w:rPr>
          <w:rFonts w:eastAsia="Times New Roman" w:cs="Arial"/>
          <w:noProof/>
          <w:szCs w:val="24"/>
          <w:vertAlign w:val="superscript"/>
          <w:lang w:eastAsia="en-GB"/>
        </w:rPr>
        <w:footnoteReference w:id="12"/>
      </w:r>
      <w:r w:rsidRPr="00EB29FB">
        <w:rPr>
          <w:rFonts w:eastAsia="Times New Roman" w:cs="Arial"/>
          <w:noProof/>
          <w:sz w:val="24"/>
          <w:szCs w:val="24"/>
          <w:lang w:eastAsia="en-GB"/>
        </w:rPr>
        <w:t>.  However, these may be c</w:t>
      </w:r>
      <w:r w:rsidR="00933E4F" w:rsidRPr="00EB29FB">
        <w:rPr>
          <w:rFonts w:eastAsia="Times New Roman" w:cs="Arial"/>
          <w:noProof/>
          <w:sz w:val="24"/>
          <w:szCs w:val="24"/>
          <w:lang w:eastAsia="en-GB"/>
        </w:rPr>
        <w:t>onsidered for closure once new ‘</w:t>
      </w:r>
      <w:r w:rsidRPr="00EB29FB">
        <w:rPr>
          <w:rFonts w:eastAsia="Times New Roman" w:cs="Arial"/>
          <w:noProof/>
          <w:sz w:val="24"/>
          <w:szCs w:val="24"/>
          <w:lang w:eastAsia="en-GB"/>
        </w:rPr>
        <w:t>resettlement</w:t>
      </w:r>
      <w:r w:rsidR="00933E4F" w:rsidRPr="00EB29FB">
        <w:rPr>
          <w:rFonts w:eastAsia="Times New Roman" w:cs="Arial"/>
          <w:noProof/>
          <w:sz w:val="24"/>
          <w:szCs w:val="24"/>
          <w:lang w:eastAsia="en-GB"/>
        </w:rPr>
        <w:t>’</w:t>
      </w:r>
      <w:r w:rsidRPr="00EB29FB">
        <w:rPr>
          <w:rFonts w:eastAsia="Times New Roman" w:cs="Arial"/>
          <w:noProof/>
          <w:sz w:val="24"/>
          <w:szCs w:val="24"/>
          <w:lang w:eastAsia="en-GB"/>
        </w:rPr>
        <w:t xml:space="preserve"> arrangements are in place</w:t>
      </w:r>
      <w:r w:rsidR="00D36847" w:rsidRPr="00EB29FB">
        <w:rPr>
          <w:rFonts w:eastAsia="Times New Roman" w:cs="Arial"/>
          <w:noProof/>
          <w:sz w:val="24"/>
          <w:szCs w:val="24"/>
          <w:lang w:eastAsia="en-GB"/>
        </w:rPr>
        <w:t xml:space="preserve"> </w:t>
      </w:r>
      <w:r w:rsidR="009F28F9" w:rsidRPr="00EB29FB">
        <w:rPr>
          <w:rFonts w:eastAsia="Times New Roman" w:cs="Arial"/>
          <w:noProof/>
          <w:sz w:val="24"/>
          <w:szCs w:val="24"/>
          <w:lang w:eastAsia="en-GB"/>
        </w:rPr>
        <w:t xml:space="preserve">which will enable women to be held nearer to home </w:t>
      </w:r>
      <w:r w:rsidR="00D36847" w:rsidRPr="00EB29FB">
        <w:rPr>
          <w:rFonts w:eastAsia="Times New Roman" w:cs="Arial"/>
          <w:noProof/>
          <w:sz w:val="24"/>
          <w:szCs w:val="24"/>
          <w:lang w:eastAsia="en-GB"/>
        </w:rPr>
        <w:t>(see next section)</w:t>
      </w:r>
      <w:r w:rsidRPr="00EB29FB">
        <w:rPr>
          <w:rFonts w:eastAsia="Times New Roman" w:cs="Arial"/>
          <w:noProof/>
          <w:sz w:val="24"/>
          <w:szCs w:val="24"/>
          <w:lang w:eastAsia="en-GB"/>
        </w:rPr>
        <w:t xml:space="preserve">.  Some concerns have been raised  </w:t>
      </w:r>
      <w:r w:rsidR="007B72A6" w:rsidRPr="00EB29FB">
        <w:rPr>
          <w:rFonts w:eastAsia="Times New Roman" w:cs="Arial"/>
          <w:noProof/>
          <w:sz w:val="24"/>
          <w:szCs w:val="24"/>
          <w:lang w:eastAsia="en-GB"/>
        </w:rPr>
        <w:t>about</w:t>
      </w:r>
      <w:r w:rsidRPr="00EB29FB">
        <w:rPr>
          <w:rFonts w:eastAsia="Times New Roman" w:cs="Arial"/>
          <w:noProof/>
          <w:sz w:val="24"/>
          <w:szCs w:val="24"/>
          <w:lang w:eastAsia="en-GB"/>
        </w:rPr>
        <w:t xml:space="preserve"> </w:t>
      </w:r>
      <w:r w:rsidR="009F28F9" w:rsidRPr="00EB29FB">
        <w:rPr>
          <w:rFonts w:eastAsia="Times New Roman" w:cs="Arial"/>
          <w:noProof/>
          <w:sz w:val="24"/>
          <w:szCs w:val="24"/>
          <w:lang w:eastAsia="en-GB"/>
        </w:rPr>
        <w:t xml:space="preserve">these closures </w:t>
      </w:r>
      <w:r w:rsidR="007B72A6" w:rsidRPr="00EB29FB">
        <w:rPr>
          <w:rFonts w:eastAsia="Times New Roman" w:cs="Arial"/>
          <w:noProof/>
          <w:sz w:val="24"/>
          <w:szCs w:val="24"/>
          <w:lang w:eastAsia="en-GB"/>
        </w:rPr>
        <w:t>(in the Prison Reform Trust/Soroptimist 2014 review</w:t>
      </w:r>
      <w:r w:rsidR="007B72A6" w:rsidRPr="00EB29FB">
        <w:rPr>
          <w:rStyle w:val="EndnoteReference"/>
          <w:rFonts w:eastAsia="Times New Roman" w:cs="Arial"/>
          <w:noProof/>
          <w:sz w:val="24"/>
          <w:szCs w:val="24"/>
          <w:lang w:eastAsia="en-GB"/>
        </w:rPr>
        <w:endnoteReference w:id="56"/>
      </w:r>
      <w:r w:rsidR="009F28F9" w:rsidRPr="00EB29FB">
        <w:rPr>
          <w:rFonts w:eastAsia="Times New Roman" w:cs="Arial"/>
          <w:noProof/>
          <w:sz w:val="24"/>
          <w:szCs w:val="24"/>
          <w:lang w:eastAsia="en-GB"/>
        </w:rPr>
        <w:t xml:space="preserve"> and in the press</w:t>
      </w:r>
      <w:r w:rsidR="009F28F9" w:rsidRPr="00EB29FB">
        <w:rPr>
          <w:rStyle w:val="FootnoteReference"/>
          <w:rFonts w:eastAsia="Times New Roman" w:cs="Arial"/>
          <w:noProof/>
          <w:szCs w:val="24"/>
          <w:lang w:eastAsia="en-GB"/>
        </w:rPr>
        <w:footnoteReference w:id="13"/>
      </w:r>
      <w:r w:rsidR="007B72A6" w:rsidRPr="00EB29FB">
        <w:rPr>
          <w:rFonts w:eastAsia="Times New Roman" w:cs="Arial"/>
          <w:noProof/>
          <w:sz w:val="24"/>
          <w:szCs w:val="24"/>
          <w:lang w:eastAsia="en-GB"/>
        </w:rPr>
        <w:t>)</w:t>
      </w:r>
      <w:r w:rsidRPr="00EB29FB">
        <w:rPr>
          <w:rFonts w:eastAsia="Times New Roman" w:cs="Arial"/>
          <w:noProof/>
          <w:sz w:val="24"/>
          <w:szCs w:val="24"/>
          <w:lang w:eastAsia="en-GB"/>
        </w:rPr>
        <w:t xml:space="preserve">.  </w:t>
      </w:r>
      <w:r w:rsidR="00933E4F" w:rsidRPr="00EB29FB">
        <w:rPr>
          <w:rFonts w:eastAsia="Times New Roman" w:cs="Arial"/>
          <w:noProof/>
          <w:sz w:val="24"/>
          <w:szCs w:val="24"/>
          <w:lang w:eastAsia="en-GB"/>
        </w:rPr>
        <w:t>However</w:t>
      </w:r>
      <w:r w:rsidRPr="00EB29FB">
        <w:rPr>
          <w:rFonts w:eastAsia="Times New Roman" w:cs="Arial"/>
          <w:noProof/>
          <w:sz w:val="24"/>
          <w:szCs w:val="24"/>
          <w:lang w:eastAsia="en-GB"/>
        </w:rPr>
        <w:t xml:space="preserve">, the UK Government has stated that </w:t>
      </w:r>
      <w:r w:rsidR="007B72A6" w:rsidRPr="00EB29FB">
        <w:rPr>
          <w:rFonts w:eastAsia="Times New Roman" w:cs="Arial"/>
          <w:noProof/>
          <w:sz w:val="24"/>
          <w:szCs w:val="24"/>
          <w:lang w:eastAsia="en-GB"/>
        </w:rPr>
        <w:t xml:space="preserve">the </w:t>
      </w:r>
      <w:r w:rsidR="00D36847" w:rsidRPr="00EB29FB">
        <w:rPr>
          <w:rFonts w:eastAsia="Times New Roman" w:cs="Arial"/>
          <w:noProof/>
          <w:sz w:val="24"/>
          <w:szCs w:val="24"/>
          <w:lang w:eastAsia="en-GB"/>
        </w:rPr>
        <w:t>(rural)</w:t>
      </w:r>
      <w:r w:rsidRPr="00EB29FB">
        <w:rPr>
          <w:rFonts w:eastAsia="Times New Roman" w:cs="Arial"/>
          <w:noProof/>
          <w:sz w:val="24"/>
          <w:szCs w:val="24"/>
          <w:lang w:eastAsia="en-GB"/>
        </w:rPr>
        <w:t xml:space="preserve"> location </w:t>
      </w:r>
      <w:r w:rsidR="007B72A6" w:rsidRPr="00EB29FB">
        <w:rPr>
          <w:rFonts w:eastAsia="Times New Roman" w:cs="Arial"/>
          <w:noProof/>
          <w:sz w:val="24"/>
          <w:szCs w:val="24"/>
          <w:lang w:eastAsia="en-GB"/>
        </w:rPr>
        <w:t xml:space="preserve">of the two prisons </w:t>
      </w:r>
      <w:r w:rsidR="00D36847" w:rsidRPr="00EB29FB">
        <w:rPr>
          <w:rFonts w:eastAsia="Times New Roman" w:cs="Arial"/>
          <w:noProof/>
          <w:sz w:val="24"/>
          <w:szCs w:val="24"/>
          <w:lang w:eastAsia="en-GB"/>
        </w:rPr>
        <w:t>means that they are not suitable for the majority of women</w:t>
      </w:r>
      <w:r w:rsidRPr="00EB29FB">
        <w:rPr>
          <w:rStyle w:val="EndnoteReference"/>
          <w:rFonts w:eastAsia="Times New Roman" w:cs="Arial"/>
          <w:noProof/>
          <w:sz w:val="24"/>
          <w:szCs w:val="24"/>
          <w:lang w:eastAsia="en-GB"/>
        </w:rPr>
        <w:endnoteReference w:id="57"/>
      </w:r>
      <w:r w:rsidRPr="00EB29FB">
        <w:rPr>
          <w:rFonts w:eastAsia="Times New Roman" w:cs="Arial"/>
          <w:noProof/>
          <w:sz w:val="24"/>
          <w:szCs w:val="24"/>
          <w:lang w:eastAsia="en-GB"/>
        </w:rPr>
        <w:t>.</w:t>
      </w:r>
      <w:r w:rsidR="00933E4F" w:rsidRPr="00EB29FB">
        <w:rPr>
          <w:rFonts w:eastAsia="Times New Roman" w:cs="Arial"/>
          <w:noProof/>
          <w:sz w:val="24"/>
          <w:szCs w:val="24"/>
          <w:lang w:eastAsia="en-GB"/>
        </w:rPr>
        <w:t xml:space="preserve"> </w:t>
      </w:r>
    </w:p>
    <w:p w14:paraId="4E074FE9" w14:textId="77777777" w:rsidR="00E46E1B" w:rsidRPr="00E46E1B" w:rsidRDefault="00BD2793" w:rsidP="00402D02">
      <w:pPr>
        <w:pStyle w:val="SGBodytext"/>
      </w:pPr>
      <w:r>
        <w:t xml:space="preserve">Spain also has a number of ‘dependent units’ which are open prisons for women and their children (see Chapter 8. </w:t>
      </w:r>
      <w:r w:rsidRPr="00EB29FB">
        <w:rPr>
          <w:i/>
        </w:rPr>
        <w:t>International approaches to parental responsibilities</w:t>
      </w:r>
      <w:r>
        <w:t>)</w:t>
      </w:r>
    </w:p>
    <w:p w14:paraId="099189FF" w14:textId="77777777" w:rsidR="008A37EC" w:rsidRPr="008A37EC" w:rsidRDefault="00F62CFE" w:rsidP="00072B27">
      <w:pPr>
        <w:pStyle w:val="Heading2blue"/>
        <w:rPr>
          <w:rFonts w:eastAsiaTheme="majorEastAsia"/>
        </w:rPr>
      </w:pPr>
      <w:bookmarkStart w:id="27" w:name="_Toc429555811"/>
      <w:r>
        <w:rPr>
          <w:rFonts w:eastAsiaTheme="majorEastAsia"/>
        </w:rPr>
        <w:t>Small</w:t>
      </w:r>
      <w:r w:rsidR="00AD7CAD">
        <w:rPr>
          <w:rFonts w:eastAsiaTheme="majorEastAsia"/>
        </w:rPr>
        <w:t xml:space="preserve"> </w:t>
      </w:r>
      <w:r w:rsidR="008A37EC" w:rsidRPr="008A37EC">
        <w:rPr>
          <w:rFonts w:eastAsiaTheme="majorEastAsia"/>
        </w:rPr>
        <w:t>Custodial Units</w:t>
      </w:r>
      <w:bookmarkEnd w:id="27"/>
    </w:p>
    <w:p w14:paraId="2F67A1C7" w14:textId="77777777" w:rsidR="00F62CFE" w:rsidRPr="00F62CFE" w:rsidRDefault="00F62CFE" w:rsidP="00402D02">
      <w:pPr>
        <w:pStyle w:val="SGBodytext"/>
        <w:rPr>
          <w:color w:val="FF0000"/>
        </w:rPr>
      </w:pPr>
      <w:r w:rsidRPr="00EB29FB">
        <w:t xml:space="preserve">Women’s custodial units can vary by nature and size.  They </w:t>
      </w:r>
      <w:r w:rsidR="008A37EC" w:rsidRPr="00EB29FB">
        <w:t xml:space="preserve">can be </w:t>
      </w:r>
      <w:r w:rsidRPr="00EB29FB">
        <w:t xml:space="preserve">specialised secure units situated alongside larger prisons (e.g. </w:t>
      </w:r>
      <w:r w:rsidR="00D153D4" w:rsidRPr="00EB29FB">
        <w:t>mental health</w:t>
      </w:r>
      <w:r w:rsidRPr="00EB29FB">
        <w:t xml:space="preserve"> units) or outwith prisons (e.g. drug residential units), or they might be larger, regional or local </w:t>
      </w:r>
      <w:r w:rsidR="006E5BA4" w:rsidRPr="00EB29FB">
        <w:t>u</w:t>
      </w:r>
      <w:r w:rsidR="000F07F5" w:rsidRPr="00EB29FB">
        <w:t>n</w:t>
      </w:r>
      <w:r w:rsidR="006E5BA4" w:rsidRPr="00EB29FB">
        <w:t xml:space="preserve">its </w:t>
      </w:r>
      <w:r w:rsidRPr="00EB29FB">
        <w:t xml:space="preserve">that hold women of </w:t>
      </w:r>
      <w:r w:rsidR="00320699" w:rsidRPr="00EB29FB">
        <w:t xml:space="preserve">different </w:t>
      </w:r>
      <w:r w:rsidRPr="00EB29FB">
        <w:t xml:space="preserve">security levels.  </w:t>
      </w:r>
    </w:p>
    <w:p w14:paraId="35B6143A" w14:textId="77777777" w:rsidR="008A37EC" w:rsidRPr="008A37EC" w:rsidRDefault="008A37EC" w:rsidP="00402D02">
      <w:pPr>
        <w:pStyle w:val="SGBodytext"/>
      </w:pPr>
      <w:r w:rsidRPr="008A37EC">
        <w:t xml:space="preserve">Recent developments internationally have included </w:t>
      </w:r>
      <w:r w:rsidRPr="008A37EC">
        <w:rPr>
          <w:b/>
        </w:rPr>
        <w:t>‘cottage-style’ accommodation</w:t>
      </w:r>
      <w:r w:rsidRPr="008A37EC">
        <w:t xml:space="preserve">, where women </w:t>
      </w:r>
      <w:r w:rsidR="00CC1C47">
        <w:t>live in</w:t>
      </w:r>
      <w:r w:rsidR="006E5BA4">
        <w:t xml:space="preserve"> shared houses or</w:t>
      </w:r>
      <w:r w:rsidR="00CC1C47">
        <w:t xml:space="preserve"> ‘cottages’ </w:t>
      </w:r>
      <w:r w:rsidR="00320699">
        <w:t>with a</w:t>
      </w:r>
      <w:r w:rsidR="00505F0A">
        <w:t xml:space="preserve"> </w:t>
      </w:r>
      <w:r w:rsidRPr="008A37EC">
        <w:t xml:space="preserve">communal kitchen </w:t>
      </w:r>
      <w:r w:rsidR="00505F0A" w:rsidRPr="008A37EC">
        <w:t>and bathroom</w:t>
      </w:r>
      <w:r w:rsidR="00505F0A">
        <w:t>,</w:t>
      </w:r>
      <w:r w:rsidR="00505F0A" w:rsidRPr="008A37EC">
        <w:t xml:space="preserve"> </w:t>
      </w:r>
      <w:r w:rsidRPr="008A37EC">
        <w:t xml:space="preserve">and develop </w:t>
      </w:r>
      <w:r w:rsidR="001006C8">
        <w:t>independent living and pro-</w:t>
      </w:r>
      <w:r w:rsidRPr="008A37EC">
        <w:t xml:space="preserve">social skills </w:t>
      </w:r>
      <w:r w:rsidR="00505F0A">
        <w:t xml:space="preserve">through </w:t>
      </w:r>
      <w:r w:rsidR="00320699">
        <w:t>collective</w:t>
      </w:r>
      <w:r w:rsidRPr="008A37EC">
        <w:t xml:space="preserve"> cooking, cleaning and budgeting</w:t>
      </w:r>
      <w:r w:rsidRPr="008A37EC">
        <w:rPr>
          <w:vertAlign w:val="superscript"/>
        </w:rPr>
        <w:endnoteReference w:id="58"/>
      </w:r>
      <w:r w:rsidRPr="008A37EC">
        <w:t xml:space="preserve">.   </w:t>
      </w:r>
    </w:p>
    <w:p w14:paraId="2532D31B" w14:textId="77777777" w:rsidR="008A37EC" w:rsidRPr="00E45988" w:rsidRDefault="00E45988" w:rsidP="00402D02">
      <w:pPr>
        <w:pStyle w:val="SGBodytext"/>
      </w:pPr>
      <w:r w:rsidRPr="00E45988">
        <w:t xml:space="preserve">In </w:t>
      </w:r>
      <w:r w:rsidRPr="00E45988">
        <w:rPr>
          <w:b/>
        </w:rPr>
        <w:t xml:space="preserve">Canada </w:t>
      </w:r>
      <w:r w:rsidRPr="00E45988">
        <w:t xml:space="preserve">women who are sentenced for two years or more are the responsibility of the federal government, whilst those sentenced to less than two years </w:t>
      </w:r>
      <w:r>
        <w:t xml:space="preserve">are the responsibility of the provincial government.  </w:t>
      </w:r>
      <w:r w:rsidR="008A37EC" w:rsidRPr="00E45988">
        <w:t xml:space="preserve">Canada </w:t>
      </w:r>
      <w:r w:rsidR="008A37EC" w:rsidRPr="008A37EC">
        <w:t xml:space="preserve">has had a network of five </w:t>
      </w:r>
      <w:r>
        <w:t xml:space="preserve">federal </w:t>
      </w:r>
      <w:r w:rsidR="008A37EC" w:rsidRPr="008A37EC">
        <w:t xml:space="preserve">multi-level security </w:t>
      </w:r>
      <w:r w:rsidR="008A37EC" w:rsidRPr="008A37EC">
        <w:lastRenderedPageBreak/>
        <w:t>‘self-care’ regional facilities for women since the 1990s.  A sixth was built in 2004</w:t>
      </w:r>
      <w:r w:rsidR="008A37EC" w:rsidRPr="008A37EC">
        <w:rPr>
          <w:vertAlign w:val="superscript"/>
        </w:rPr>
        <w:endnoteReference w:id="59"/>
      </w:r>
      <w:r w:rsidR="008A37EC" w:rsidRPr="008A37EC">
        <w:t>.  These were originally built in response to the recommendations of a government Taskforce on Federally Sentenced Women (which was established following a spate of female suicides in prison) and replaced the then national women’s prison</w:t>
      </w:r>
      <w:r w:rsidR="008A37EC" w:rsidRPr="008A37EC">
        <w:rPr>
          <w:vertAlign w:val="superscript"/>
        </w:rPr>
        <w:endnoteReference w:id="60"/>
      </w:r>
      <w:r w:rsidR="008A37EC" w:rsidRPr="008A37EC">
        <w:t>.</w:t>
      </w:r>
      <w:r>
        <w:t xml:space="preserve">  </w:t>
      </w:r>
    </w:p>
    <w:p w14:paraId="29D98B13" w14:textId="77777777" w:rsidR="008A37EC" w:rsidRPr="008A37EC" w:rsidRDefault="008A37EC" w:rsidP="00402D02">
      <w:pPr>
        <w:pStyle w:val="SGBodytext"/>
      </w:pPr>
      <w:r w:rsidRPr="008A37EC">
        <w:t xml:space="preserve">The original ‘self-care’ ethos was </w:t>
      </w:r>
      <w:r w:rsidR="00BE03B0">
        <w:t>premised on</w:t>
      </w:r>
      <w:r w:rsidRPr="008A37EC">
        <w:t xml:space="preserve"> self-responsibility and independent movement (via non-intrusive security measures).  Women live in shared houses (of up to 10 women) around communal gardens and budget, shop and clean together</w:t>
      </w:r>
      <w:r w:rsidR="001006C8">
        <w:t xml:space="preserve">, thereby gaining crucial </w:t>
      </w:r>
      <w:r w:rsidR="001006C8" w:rsidRPr="001006C8">
        <w:rPr>
          <w:b/>
        </w:rPr>
        <w:t>independent living skills</w:t>
      </w:r>
      <w:r w:rsidRPr="008A37EC">
        <w:t xml:space="preserve">.  Women  can have private family visits (up to 72 hours) and receive trauma counselling from external </w:t>
      </w:r>
      <w:r w:rsidR="00BD2793">
        <w:t>services</w:t>
      </w:r>
      <w:r w:rsidRPr="008A37EC">
        <w:t>. Prisoners may be released and whilst still technically prisoners, can be placed in a variety of non-prison environments</w:t>
      </w:r>
      <w:r w:rsidR="00BE03B0">
        <w:t xml:space="preserve"> (e.g. conditional release</w:t>
      </w:r>
      <w:r w:rsidR="001006C8">
        <w:t>s</w:t>
      </w:r>
      <w:r w:rsidR="00BE03B0">
        <w:t>)</w:t>
      </w:r>
      <w:r w:rsidRPr="008A37EC">
        <w:rPr>
          <w:vertAlign w:val="superscript"/>
        </w:rPr>
        <w:endnoteReference w:id="61"/>
      </w:r>
      <w:r w:rsidRPr="008A37EC">
        <w:t>.  A status report in 2006 reported that 81.5% of all frontline staff in Canadian institutions were female</w:t>
      </w:r>
      <w:r w:rsidRPr="008A37EC">
        <w:rPr>
          <w:vertAlign w:val="superscript"/>
        </w:rPr>
        <w:endnoteReference w:id="62"/>
      </w:r>
      <w:r w:rsidRPr="008A37EC">
        <w:t xml:space="preserve">.  </w:t>
      </w:r>
    </w:p>
    <w:p w14:paraId="19B930B2" w14:textId="77777777" w:rsidR="008A37EC" w:rsidRPr="008A37EC" w:rsidRDefault="008A37EC" w:rsidP="00402D02">
      <w:pPr>
        <w:pStyle w:val="SGBodytext"/>
      </w:pPr>
      <w:r w:rsidRPr="008A37EC">
        <w:t xml:space="preserve">The facilities were built as </w:t>
      </w:r>
      <w:r w:rsidR="00E0469F">
        <w:t>a cluster of ‘cottages’ on a ‘campus’</w:t>
      </w:r>
      <w:r w:rsidRPr="008A37EC">
        <w:t xml:space="preserve"> operating at multiple security levels</w:t>
      </w:r>
      <w:r w:rsidRPr="008A37EC">
        <w:rPr>
          <w:vertAlign w:val="superscript"/>
        </w:rPr>
        <w:endnoteReference w:id="63"/>
      </w:r>
      <w:r w:rsidRPr="008A37EC">
        <w:t xml:space="preserve"> </w:t>
      </w:r>
      <w:r w:rsidR="00E0469F">
        <w:t>which</w:t>
      </w:r>
      <w:r w:rsidRPr="008A37EC">
        <w:t xml:space="preserve"> house minimum, medium and maximum-security women.  A ‘healing lodge’ is available for </w:t>
      </w:r>
      <w:r w:rsidR="00BD2793">
        <w:t xml:space="preserve">(aboriginal) </w:t>
      </w:r>
      <w:r w:rsidRPr="008A37EC">
        <w:t xml:space="preserve">minimum and medium security level women.  </w:t>
      </w:r>
    </w:p>
    <w:p w14:paraId="708DD981" w14:textId="77777777" w:rsidR="008A37EC" w:rsidRPr="008A37EC" w:rsidRDefault="008A37EC" w:rsidP="00402D02">
      <w:pPr>
        <w:pStyle w:val="SGBodytext"/>
      </w:pPr>
      <w:r w:rsidRPr="008A37EC">
        <w:t>As the Canadian Government website</w:t>
      </w:r>
      <w:r w:rsidRPr="008A37EC">
        <w:rPr>
          <w:vertAlign w:val="superscript"/>
        </w:rPr>
        <w:endnoteReference w:id="64"/>
      </w:r>
      <w:r w:rsidRPr="008A37EC">
        <w:t xml:space="preserve"> describes:</w:t>
      </w:r>
    </w:p>
    <w:p w14:paraId="0CDE1696" w14:textId="77777777" w:rsidR="008A37EC" w:rsidRPr="000E57F5" w:rsidRDefault="008A37EC" w:rsidP="006F0C6A">
      <w:pPr>
        <w:pStyle w:val="SGBullet"/>
        <w:rPr>
          <w:sz w:val="24"/>
          <w:szCs w:val="24"/>
          <w:lang w:eastAsia="en-GB"/>
        </w:rPr>
      </w:pPr>
      <w:r w:rsidRPr="000E57F5">
        <w:rPr>
          <w:sz w:val="24"/>
          <w:szCs w:val="24"/>
          <w:lang w:eastAsia="en-GB"/>
        </w:rPr>
        <w:t xml:space="preserve">Women who are classified as minimum or medium security level live in housing units with communal living areas, where they are responsible for their daily needs such as cooking, cleaning and laundry. </w:t>
      </w:r>
    </w:p>
    <w:p w14:paraId="3F15418C" w14:textId="77777777" w:rsidR="008A37EC" w:rsidRPr="000E57F5" w:rsidRDefault="008A37EC" w:rsidP="006F0C6A">
      <w:pPr>
        <w:pStyle w:val="SGBullet"/>
        <w:rPr>
          <w:sz w:val="24"/>
          <w:szCs w:val="24"/>
          <w:lang w:eastAsia="en-GB"/>
        </w:rPr>
      </w:pPr>
      <w:r w:rsidRPr="000E57F5">
        <w:rPr>
          <w:sz w:val="24"/>
          <w:szCs w:val="24"/>
          <w:lang w:eastAsia="en-GB"/>
        </w:rPr>
        <w:t xml:space="preserve">Women who are classified as minimum or medium security level with mental health needs and/or cognitive limitations are accommodated in housing units called Structured Living Environments, where </w:t>
      </w:r>
      <w:proofErr w:type="gramStart"/>
      <w:r w:rsidRPr="000E57F5">
        <w:rPr>
          <w:sz w:val="24"/>
          <w:szCs w:val="24"/>
          <w:lang w:eastAsia="en-GB"/>
        </w:rPr>
        <w:t>staff with specialized mental health training provide</w:t>
      </w:r>
      <w:proofErr w:type="gramEnd"/>
      <w:r w:rsidRPr="000E57F5">
        <w:rPr>
          <w:sz w:val="24"/>
          <w:szCs w:val="24"/>
          <w:lang w:eastAsia="en-GB"/>
        </w:rPr>
        <w:t xml:space="preserve"> assistance and supervision. Women with additional mental health needs are accommodated at one of two </w:t>
      </w:r>
      <w:hyperlink r:id="rId15" w:anchor="_2" w:history="1">
        <w:r w:rsidRPr="000E57F5">
          <w:rPr>
            <w:sz w:val="24"/>
            <w:szCs w:val="24"/>
            <w:lang w:eastAsia="en-GB"/>
          </w:rPr>
          <w:t>national treatment centres</w:t>
        </w:r>
      </w:hyperlink>
      <w:r w:rsidRPr="000E57F5">
        <w:rPr>
          <w:sz w:val="24"/>
          <w:szCs w:val="24"/>
          <w:lang w:eastAsia="en-GB"/>
        </w:rPr>
        <w:t xml:space="preserve">  </w:t>
      </w:r>
    </w:p>
    <w:p w14:paraId="2D807585" w14:textId="77777777" w:rsidR="008A37EC" w:rsidRPr="000E57F5" w:rsidRDefault="008A37EC" w:rsidP="006F0C6A">
      <w:pPr>
        <w:pStyle w:val="SGBullet"/>
        <w:rPr>
          <w:sz w:val="24"/>
          <w:szCs w:val="24"/>
          <w:lang w:eastAsia="en-GB"/>
        </w:rPr>
      </w:pPr>
      <w:r w:rsidRPr="000E57F5">
        <w:rPr>
          <w:sz w:val="24"/>
          <w:szCs w:val="24"/>
          <w:lang w:eastAsia="en-GB"/>
        </w:rPr>
        <w:t xml:space="preserve">Women classified as maximum security are accommodated in secure </w:t>
      </w:r>
      <w:r w:rsidR="00EE636D" w:rsidRPr="000E57F5">
        <w:rPr>
          <w:sz w:val="24"/>
          <w:szCs w:val="24"/>
          <w:lang w:eastAsia="en-GB"/>
        </w:rPr>
        <w:t>units,</w:t>
      </w:r>
      <w:r w:rsidRPr="000E57F5">
        <w:rPr>
          <w:sz w:val="24"/>
          <w:szCs w:val="24"/>
          <w:lang w:eastAsia="en-GB"/>
        </w:rPr>
        <w:t xml:space="preserve"> where high-level intervention and supervision is provided by specialized staff.</w:t>
      </w:r>
    </w:p>
    <w:p w14:paraId="34294B1B" w14:textId="77777777" w:rsidR="008A37EC" w:rsidRPr="008A37EC" w:rsidRDefault="008A37EC" w:rsidP="00402D02">
      <w:pPr>
        <w:pStyle w:val="SGBodytext"/>
        <w:rPr>
          <w:lang w:val="en"/>
        </w:rPr>
      </w:pPr>
      <w:r w:rsidRPr="008A37EC">
        <w:t>At the Nova Institution</w:t>
      </w:r>
      <w:r w:rsidRPr="008A37EC">
        <w:rPr>
          <w:vertAlign w:val="superscript"/>
        </w:rPr>
        <w:endnoteReference w:id="65"/>
      </w:r>
      <w:r w:rsidRPr="008A37EC">
        <w:t xml:space="preserve">, for example, women are housed in different styles of </w:t>
      </w:r>
      <w:r w:rsidR="002534E9">
        <w:t>accommodation</w:t>
      </w:r>
      <w:r w:rsidRPr="008A37EC">
        <w:t xml:space="preserve"> depending on their security level.  </w:t>
      </w:r>
      <w:r w:rsidRPr="008A37EC">
        <w:rPr>
          <w:lang w:val="en"/>
        </w:rPr>
        <w:t xml:space="preserve">There are eight </w:t>
      </w:r>
      <w:r w:rsidR="00E0469F">
        <w:rPr>
          <w:lang w:val="en"/>
        </w:rPr>
        <w:t>units</w:t>
      </w:r>
      <w:r w:rsidRPr="008A37EC">
        <w:rPr>
          <w:lang w:val="en"/>
        </w:rPr>
        <w:t xml:space="preserve"> which can house five to seven women. Two other units provide extra mental health support and security for those women who need it. The ‘structured living environment’ (SLE) unit houses up to eight women who need specific mental health interventions. There is also a Secure Unit which houses up to </w:t>
      </w:r>
      <w:r w:rsidR="0045297A">
        <w:rPr>
          <w:lang w:val="en"/>
        </w:rPr>
        <w:t>ten</w:t>
      </w:r>
      <w:r w:rsidRPr="008A37EC">
        <w:rPr>
          <w:lang w:val="en"/>
        </w:rPr>
        <w:t xml:space="preserve"> maximum security women.  </w:t>
      </w:r>
    </w:p>
    <w:p w14:paraId="2F3311D8" w14:textId="77777777" w:rsidR="008A37EC" w:rsidRPr="008A37EC" w:rsidRDefault="008A37EC" w:rsidP="00402D02">
      <w:pPr>
        <w:pStyle w:val="SGBodytext"/>
      </w:pPr>
      <w:r w:rsidRPr="008A37EC">
        <w:rPr>
          <w:lang w:val="en"/>
        </w:rPr>
        <w:t>At another institution (Grand Valley</w:t>
      </w:r>
      <w:r w:rsidRPr="008A37EC">
        <w:rPr>
          <w:vertAlign w:val="superscript"/>
        </w:rPr>
        <w:endnoteReference w:id="66"/>
      </w:r>
      <w:r w:rsidRPr="008A37EC">
        <w:rPr>
          <w:lang w:val="en"/>
        </w:rPr>
        <w:t xml:space="preserve"> - see </w:t>
      </w:r>
      <w:r w:rsidR="001C5FB5" w:rsidRPr="000E57F5">
        <w:rPr>
          <w:b/>
          <w:lang w:val="en"/>
        </w:rPr>
        <w:fldChar w:fldCharType="begin"/>
      </w:r>
      <w:r w:rsidR="001C5FB5" w:rsidRPr="000E57F5">
        <w:rPr>
          <w:b/>
          <w:lang w:val="en"/>
        </w:rPr>
        <w:instrText xml:space="preserve"> REF _Ref424199246 \h </w:instrText>
      </w:r>
      <w:r w:rsidR="004C438F">
        <w:rPr>
          <w:b/>
          <w:lang w:val="en"/>
        </w:rPr>
        <w:instrText xml:space="preserve"> \* MERGEFORMAT </w:instrText>
      </w:r>
      <w:r w:rsidR="001C5FB5" w:rsidRPr="000E57F5">
        <w:rPr>
          <w:b/>
          <w:lang w:val="en"/>
        </w:rPr>
      </w:r>
      <w:r w:rsidR="001C5FB5" w:rsidRPr="000E57F5">
        <w:rPr>
          <w:b/>
          <w:lang w:val="en"/>
        </w:rPr>
        <w:fldChar w:fldCharType="separate"/>
      </w:r>
      <w:r w:rsidR="00246821" w:rsidRPr="00246821">
        <w:rPr>
          <w:b/>
        </w:rPr>
        <w:t>Figure 4</w:t>
      </w:r>
      <w:r w:rsidR="001C5FB5" w:rsidRPr="000E57F5">
        <w:rPr>
          <w:b/>
          <w:lang w:val="en"/>
        </w:rPr>
        <w:fldChar w:fldCharType="end"/>
      </w:r>
      <w:r w:rsidRPr="001C5FB5">
        <w:rPr>
          <w:lang w:val="en"/>
        </w:rPr>
        <w:t>) there</w:t>
      </w:r>
      <w:r w:rsidRPr="008A37EC">
        <w:rPr>
          <w:lang w:val="en"/>
        </w:rPr>
        <w:t xml:space="preserve"> are </w:t>
      </w:r>
      <w:r w:rsidRPr="008A37EC">
        <w:t xml:space="preserve">houses for women with babies, new arrivals and women who need extra supervision. </w:t>
      </w:r>
      <w:r w:rsidR="002534E9">
        <w:t xml:space="preserve"> </w:t>
      </w:r>
      <w:r w:rsidRPr="008A37EC">
        <w:t>Women have free access to laundry and bathing and have keys to their houses and rooms.  The facility offers a range of services, including mentoring.</w:t>
      </w:r>
    </w:p>
    <w:p w14:paraId="55404670" w14:textId="77777777" w:rsidR="008A37EC" w:rsidRPr="008A37EC" w:rsidRDefault="008A37EC" w:rsidP="00402D02">
      <w:pPr>
        <w:pStyle w:val="SGBodytext"/>
      </w:pPr>
      <w:r w:rsidRPr="008A37EC">
        <w:t>However, overcrowding has become a problem in Canada which has led to an increased use of large secure facilities</w:t>
      </w:r>
      <w:r w:rsidRPr="008A37EC">
        <w:rPr>
          <w:vertAlign w:val="superscript"/>
        </w:rPr>
        <w:endnoteReference w:id="67"/>
      </w:r>
      <w:r w:rsidRPr="008A37EC">
        <w:t xml:space="preserve">, and the </w:t>
      </w:r>
      <w:r w:rsidRPr="00EB29FB">
        <w:rPr>
          <w:b/>
        </w:rPr>
        <w:t xml:space="preserve">expansion </w:t>
      </w:r>
      <w:r w:rsidR="002534E9" w:rsidRPr="00EB29FB">
        <w:rPr>
          <w:b/>
        </w:rPr>
        <w:t xml:space="preserve">rather than </w:t>
      </w:r>
      <w:r w:rsidRPr="00EB29FB">
        <w:rPr>
          <w:b/>
        </w:rPr>
        <w:t>contraction of women’s prisons</w:t>
      </w:r>
      <w:r w:rsidRPr="008A37EC">
        <w:t xml:space="preserve"> with</w:t>
      </w:r>
      <w:r w:rsidR="00BD2793">
        <w:t>,</w:t>
      </w:r>
      <w:r w:rsidR="00EE636D">
        <w:t xml:space="preserve"> </w:t>
      </w:r>
      <w:r w:rsidR="00BD2793">
        <w:t>as noted earlier,</w:t>
      </w:r>
      <w:r w:rsidRPr="008A37EC">
        <w:t xml:space="preserve"> a sixth facility being built in 2004, and expansions in most of the existing ones (e.g. the Nova Institution was expanded in 2013-14 to accommodate two new seven-bed houses and four more SLE spaces</w:t>
      </w:r>
      <w:r w:rsidRPr="008A37EC">
        <w:rPr>
          <w:vertAlign w:val="superscript"/>
        </w:rPr>
        <w:endnoteReference w:id="68"/>
      </w:r>
      <w:r w:rsidRPr="008A37EC">
        <w:t>).</w:t>
      </w:r>
    </w:p>
    <w:p w14:paraId="1DDB0EA8" w14:textId="1C6C50F8" w:rsidR="008A37EC" w:rsidRDefault="00D25805" w:rsidP="00402D02">
      <w:pPr>
        <w:pStyle w:val="SGBodytext"/>
      </w:pPr>
      <w:r w:rsidRPr="000E57F5">
        <w:lastRenderedPageBreak/>
        <w:drawing>
          <wp:anchor distT="0" distB="0" distL="114300" distR="114300" simplePos="0" relativeHeight="251678720" behindDoc="0" locked="0" layoutInCell="1" allowOverlap="1" wp14:anchorId="32A58C74" wp14:editId="140A0C85">
            <wp:simplePos x="0" y="0"/>
            <wp:positionH relativeFrom="column">
              <wp:posOffset>17145</wp:posOffset>
            </wp:positionH>
            <wp:positionV relativeFrom="paragraph">
              <wp:posOffset>1035050</wp:posOffset>
            </wp:positionV>
            <wp:extent cx="3848100" cy="3705225"/>
            <wp:effectExtent l="0" t="0" r="12700" b="3175"/>
            <wp:wrapTopAndBottom/>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848100" cy="3705225"/>
                    </a:xfrm>
                    <a:prstGeom prst="rect">
                      <a:avLst/>
                    </a:prstGeom>
                    <a:noFill/>
                    <a:extLst>
                      <a:ext uri="{FAA26D3D-D897-4be2-8F04-BA451C77F1D7}">
                        <ma14:placeholderFlag xmlns:ma14="http://schemas.microsoft.com/office/mac/drawingml/2011/main" xmlns:mv="urn:schemas-microsoft-com:mac:vml" xmlns:mo="http://schemas.microsoft.com/office/mac/office/2008/main"/>
                      </a:ext>
                    </a:extLst>
                  </pic:spPr>
                </pic:pic>
              </a:graphicData>
            </a:graphic>
            <wp14:sizeRelH relativeFrom="page">
              <wp14:pctWidth>0</wp14:pctWidth>
            </wp14:sizeRelH>
            <wp14:sizeRelV relativeFrom="page">
              <wp14:pctHeight>0</wp14:pctHeight>
            </wp14:sizeRelV>
          </wp:anchor>
        </w:drawing>
      </w:r>
      <w:r w:rsidR="008A37EC" w:rsidRPr="008A37EC">
        <w:t>Criticisms of the implementation (rather than the philosophy) of the Canadian approach highlight the limitations of a regime change predicated on buildings</w:t>
      </w:r>
      <w:r w:rsidR="008A37EC" w:rsidRPr="008A37EC">
        <w:rPr>
          <w:vertAlign w:val="superscript"/>
        </w:rPr>
        <w:endnoteReference w:id="69"/>
      </w:r>
      <w:r w:rsidR="008A37EC" w:rsidRPr="008A37EC">
        <w:t>.   This and other learnings from Canada are discussed in a later section</w:t>
      </w:r>
      <w:r w:rsidR="00C34606">
        <w:t xml:space="preserve"> (see Chapter 7. </w:t>
      </w:r>
      <w:r w:rsidR="00C34606" w:rsidRPr="00EB29FB">
        <w:rPr>
          <w:i/>
        </w:rPr>
        <w:fldChar w:fldCharType="begin"/>
      </w:r>
      <w:r w:rsidR="00C34606" w:rsidRPr="00EB29FB">
        <w:rPr>
          <w:i/>
        </w:rPr>
        <w:instrText xml:space="preserve"> REF _Ref426007880 \h </w:instrText>
      </w:r>
      <w:r w:rsidR="00C34606">
        <w:rPr>
          <w:i/>
        </w:rPr>
        <w:instrText xml:space="preserve"> \* MERGEFORMAT </w:instrText>
      </w:r>
      <w:r w:rsidR="00C34606" w:rsidRPr="00EB29FB">
        <w:rPr>
          <w:i/>
        </w:rPr>
      </w:r>
      <w:r w:rsidR="00C34606" w:rsidRPr="00EB29FB">
        <w:rPr>
          <w:i/>
        </w:rPr>
        <w:fldChar w:fldCharType="separate"/>
      </w:r>
      <w:r w:rsidR="00246821" w:rsidRPr="00246821">
        <w:rPr>
          <w:rFonts w:eastAsiaTheme="majorEastAsia"/>
          <w:i/>
        </w:rPr>
        <w:t xml:space="preserve">Learning from the Canadian </w:t>
      </w:r>
      <w:r w:rsidR="00246821" w:rsidRPr="00246821">
        <w:rPr>
          <w:rFonts w:eastAsiaTheme="majorEastAsia"/>
          <w:i/>
        </w:rPr>
        <w:tab/>
        <w:t>Experience</w:t>
      </w:r>
      <w:r w:rsidR="00C34606" w:rsidRPr="00EB29FB">
        <w:rPr>
          <w:i/>
        </w:rPr>
        <w:fldChar w:fldCharType="end"/>
      </w:r>
      <w:r w:rsidR="00C34606">
        <w:t>)</w:t>
      </w:r>
      <w:r w:rsidR="008A37EC" w:rsidRPr="008A37EC">
        <w:t>.</w:t>
      </w:r>
    </w:p>
    <w:p w14:paraId="34E0DA9B" w14:textId="2BED9381" w:rsidR="00BD2793" w:rsidRDefault="00D25805" w:rsidP="00402D02">
      <w:pPr>
        <w:pStyle w:val="SGBodytext"/>
      </w:pPr>
      <w:r>
        <mc:AlternateContent>
          <mc:Choice Requires="wps">
            <w:drawing>
              <wp:anchor distT="0" distB="0" distL="114300" distR="114300" simplePos="0" relativeHeight="251679744" behindDoc="0" locked="0" layoutInCell="1" allowOverlap="1" wp14:anchorId="608EFDA4" wp14:editId="68A566AD">
                <wp:simplePos x="0" y="0"/>
                <wp:positionH relativeFrom="column">
                  <wp:posOffset>4445</wp:posOffset>
                </wp:positionH>
                <wp:positionV relativeFrom="paragraph">
                  <wp:posOffset>3892550</wp:posOffset>
                </wp:positionV>
                <wp:extent cx="5956300" cy="323850"/>
                <wp:effectExtent l="0" t="0" r="12700" b="6350"/>
                <wp:wrapSquare wrapText="bothSides"/>
                <wp:docPr id="8" name="Text Box 8"/>
                <wp:cNvGraphicFramePr/>
                <a:graphic xmlns:a="http://schemas.openxmlformats.org/drawingml/2006/main">
                  <a:graphicData uri="http://schemas.microsoft.com/office/word/2010/wordprocessingShape">
                    <wps:wsp>
                      <wps:cNvSpPr txBox="1"/>
                      <wps:spPr>
                        <a:xfrm>
                          <a:off x="0" y="0"/>
                          <a:ext cx="5956300" cy="323850"/>
                        </a:xfrm>
                        <a:prstGeom prst="rect">
                          <a:avLst/>
                        </a:prstGeom>
                        <a:solidFill>
                          <a:prstClr val="white"/>
                        </a:solidFill>
                        <a:ln>
                          <a:noFill/>
                        </a:ln>
                        <a:effectLst/>
                      </wps:spPr>
                      <wps:txbx>
                        <w:txbxContent>
                          <w:p w14:paraId="255D5AD4" w14:textId="1A746645" w:rsidR="00CD076F" w:rsidRPr="000E57F5" w:rsidRDefault="00CD076F" w:rsidP="00BE3416">
                            <w:pPr>
                              <w:rPr>
                                <w:rFonts w:eastAsia="Times New Roman" w:cs="Arial"/>
                                <w:sz w:val="20"/>
                                <w:shd w:val="clear" w:color="auto" w:fill="FFFFFF"/>
                              </w:rPr>
                            </w:pPr>
                            <w:bookmarkStart w:id="28" w:name="_Ref424199246"/>
                            <w:r w:rsidRPr="000E57F5">
                              <w:rPr>
                                <w:b/>
                                <w:sz w:val="22"/>
                                <w:szCs w:val="22"/>
                              </w:rPr>
                              <w:t xml:space="preserve">Figure </w:t>
                            </w:r>
                            <w:r w:rsidRPr="000E57F5">
                              <w:rPr>
                                <w:b/>
                                <w:sz w:val="22"/>
                                <w:szCs w:val="22"/>
                              </w:rPr>
                              <w:fldChar w:fldCharType="begin"/>
                            </w:r>
                            <w:r w:rsidRPr="000E57F5">
                              <w:rPr>
                                <w:b/>
                                <w:sz w:val="22"/>
                                <w:szCs w:val="22"/>
                              </w:rPr>
                              <w:instrText xml:space="preserve"> SEQ Figure \* ARABIC </w:instrText>
                            </w:r>
                            <w:r w:rsidRPr="000E57F5">
                              <w:rPr>
                                <w:b/>
                                <w:sz w:val="22"/>
                                <w:szCs w:val="22"/>
                              </w:rPr>
                              <w:fldChar w:fldCharType="separate"/>
                            </w:r>
                            <w:r w:rsidR="00246821">
                              <w:rPr>
                                <w:b/>
                                <w:noProof/>
                                <w:sz w:val="22"/>
                                <w:szCs w:val="22"/>
                              </w:rPr>
                              <w:t>4</w:t>
                            </w:r>
                            <w:r w:rsidRPr="000E57F5">
                              <w:rPr>
                                <w:b/>
                                <w:sz w:val="22"/>
                                <w:szCs w:val="22"/>
                              </w:rPr>
                              <w:fldChar w:fldCharType="end"/>
                            </w:r>
                            <w:bookmarkEnd w:id="28"/>
                            <w:r w:rsidRPr="000E57F5">
                              <w:rPr>
                                <w:b/>
                                <w:sz w:val="22"/>
                                <w:szCs w:val="22"/>
                              </w:rPr>
                              <w:t xml:space="preserve"> - Grand Valley Institution for Women, Ontario, Canada</w:t>
                            </w:r>
                            <w:r>
                              <w:t xml:space="preserve"> </w:t>
                            </w:r>
                            <w:r w:rsidR="004A3814">
                              <w:br/>
                            </w:r>
                            <w:r w:rsidRPr="000E57F5">
                              <w:rPr>
                                <w:sz w:val="20"/>
                              </w:rPr>
                              <w:t>(</w:t>
                            </w:r>
                            <w:r w:rsidRPr="000E57F5">
                              <w:rPr>
                                <w:rFonts w:eastAsia="Times New Roman" w:cs="Arial"/>
                                <w:sz w:val="20"/>
                                <w:shd w:val="clear" w:color="auto" w:fill="FFFFFF"/>
                              </w:rPr>
                              <w:t xml:space="preserve">Map data ©2015 Google Imagery ©2015, </w:t>
                            </w:r>
                            <w:proofErr w:type="spellStart"/>
                            <w:r w:rsidRPr="000E57F5">
                              <w:rPr>
                                <w:rFonts w:eastAsia="Times New Roman" w:cs="Arial"/>
                                <w:sz w:val="20"/>
                                <w:shd w:val="clear" w:color="auto" w:fill="FFFFFF"/>
                              </w:rPr>
                              <w:t>Cnes</w:t>
                            </w:r>
                            <w:proofErr w:type="spellEnd"/>
                            <w:r w:rsidRPr="000E57F5">
                              <w:rPr>
                                <w:rFonts w:eastAsia="Times New Roman" w:cs="Arial"/>
                                <w:sz w:val="20"/>
                                <w:shd w:val="clear" w:color="auto" w:fill="FFFFFF"/>
                              </w:rPr>
                              <w:t xml:space="preserve">/Spot Image, </w:t>
                            </w:r>
                            <w:proofErr w:type="spellStart"/>
                            <w:r w:rsidRPr="000E57F5">
                              <w:rPr>
                                <w:rFonts w:eastAsia="Times New Roman" w:cs="Arial"/>
                                <w:sz w:val="20"/>
                                <w:shd w:val="clear" w:color="auto" w:fill="FFFFFF"/>
                              </w:rPr>
                              <w:t>DigitalGlobe</w:t>
                            </w:r>
                            <w:proofErr w:type="spellEnd"/>
                            <w:r w:rsidRPr="000E57F5">
                              <w:rPr>
                                <w:rFonts w:eastAsia="Times New Roman" w:cs="Arial"/>
                                <w:sz w:val="20"/>
                                <w:shd w:val="clear" w:color="auto" w:fill="FFFFFF"/>
                              </w:rPr>
                              <w:t>, First Base Solutions)</w:t>
                            </w:r>
                          </w:p>
                          <w:p w14:paraId="09724A57" w14:textId="77777777" w:rsidR="00CD076F" w:rsidRPr="008C1C29" w:rsidRDefault="00CD076F" w:rsidP="004612F6">
                            <w:pPr>
                              <w:pStyle w:val="Caption"/>
                              <w:rPr>
                                <w:rFonts w:eastAsia="Times New Roman" w:cs="Arial"/>
                                <w:noProof/>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8" o:spid="_x0000_s1029" type="#_x0000_t202" style="position:absolute;margin-left:.35pt;margin-top:306.5pt;width:469pt;height:25.5pt;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4HwDtNwIAAHUEAAAOAAAAZHJzL2Uyb0RvYy54bWysVEuP2jAQvlfqf7B8L+EhVhQRVpQVVSW0 uxJUezaOTSzZHtc2JPTXd+wQdrvtqerFGc+M5/F9M1nct0aTs/BBgS3paDCkRFgOlbLHkn7fbz7N KAmR2YppsKKkFxHo/fLjh0Xj5mIMNehKeIJBbJg3rqR1jG5eFIHXwrAwACcsGiV4wyJe/bGoPGsw utHFeDi8KxrwlfPARQiofeiMdJnjSyl4fJIyiEh0SbG2mE+fz0M6i+WCzY+euVrxaxnsH6owTFlM egv1wCIjJ6/+CGUU9xBAxgEHU4CUiovcA3YzGr7rZlczJ3IvCE5wN5jC/wvLH8/PnqiqpEiUZQYp 2os2ki/QkllCp3Fhjk47h26xRTWy3OsDKlPTrfQmfbEdgnbE+XLDNgXjqJx+nt5NhmjiaJuMJ7Np Br94fe18iF8FGJKEknrkLkPKztsQsRJ07V1SsgBaVRuldbokw1p7cmbIc1OrKFKN+OI3L22Tr4X0 qjN3GpEH5ZolNdw1lqTYHtoMz6Rv+gDVBbHw0M1ScHyjMPuWhfjMPA4P9ogLEZ/wkBqaksJVoqQG //Nv+uSPnKKVkgaHsaThx4l5QYn+ZpHtNLm94Hvh0Av2ZNaAfY9w1RzPIj7wUfei9GBecE9WKQua mOWYq6SxF9exWwncMy5Wq+yE8+lY3Nqd4yl0j/K+fWHeXTmKyO4j9GPK5u+o6nw7zFenCFJlHhOu HYpIUbrgbGeyrnuYluftPXu9/i2WvwAAAP//AwBQSwMEFAAGAAgAAAAhAMhcK6LdAAAACAEAAA8A AABkcnMvZG93bnJldi54bWxMj81OwzAQhO9IvIO1SFwQddqi0IY4FbRwK4f+qOdtbJKIeB3ZTpO+ PcsJjjszmv0mX422FRfjQ+NIwXSSgDBUOt1QpeB4+HhcgAgRSWPryCi4mgCr4vYmx0y7gXbmso+V 4BIKGSqoY+wyKUNZG4th4jpD7H05bzHy6SupPQ5cbls5S5JUWmyIP9TYmXVtyu99bxWkG98PO1o/ bI7vW/zsqtnp7XpS6v5ufH0BEc0Y/8Lwi8/oUDDT2fWkg2gVPHOOm6ZzXsT2cr5g5cxK+pSALHL5 f0DxAwAA//8DAFBLAQItABQABgAIAAAAIQC2gziS/gAAAOEBAAATAAAAAAAAAAAAAAAAAAAAAABb Q29udGVudF9UeXBlc10ueG1sUEsBAi0AFAAGAAgAAAAhADj9If/WAAAAlAEAAAsAAAAAAAAAAAAA AAAALwEAAF9yZWxzLy5yZWxzUEsBAi0AFAAGAAgAAAAhAPgfAO03AgAAdQQAAA4AAAAAAAAAAAAA AAAALgIAAGRycy9lMm9Eb2MueG1sUEsBAi0AFAAGAAgAAAAhAMhcK6LdAAAACAEAAA8AAAAAAAAA AAAAAAAAkQQAAGRycy9kb3ducmV2LnhtbFBLBQYAAAAABAAEAPMAAACbBQAAAAA= " stroked="f">
                <v:textbox inset="0,0,0,0">
                  <w:txbxContent>
                    <w:p w14:paraId="255D5AD4" w14:textId="1A746645" w:rsidR="00CD076F" w:rsidRPr="000E57F5" w:rsidRDefault="00CD076F" w:rsidP="00BE3416">
                      <w:pPr>
                        <w:rPr>
                          <w:rFonts w:eastAsia="Times New Roman" w:cs="Arial"/>
                          <w:sz w:val="20"/>
                          <w:shd w:val="clear" w:color="auto" w:fill="FFFFFF"/>
                        </w:rPr>
                      </w:pPr>
                      <w:bookmarkStart w:id="29" w:name="_Ref424199246"/>
                      <w:r w:rsidRPr="000E57F5">
                        <w:rPr>
                          <w:b/>
                          <w:sz w:val="22"/>
                          <w:szCs w:val="22"/>
                        </w:rPr>
                        <w:t xml:space="preserve">Figure </w:t>
                      </w:r>
                      <w:r w:rsidRPr="000E57F5">
                        <w:rPr>
                          <w:b/>
                          <w:sz w:val="22"/>
                          <w:szCs w:val="22"/>
                        </w:rPr>
                        <w:fldChar w:fldCharType="begin"/>
                      </w:r>
                      <w:r w:rsidRPr="000E57F5">
                        <w:rPr>
                          <w:b/>
                          <w:sz w:val="22"/>
                          <w:szCs w:val="22"/>
                        </w:rPr>
                        <w:instrText xml:space="preserve"> SEQ Figure \* ARABIC </w:instrText>
                      </w:r>
                      <w:r w:rsidRPr="000E57F5">
                        <w:rPr>
                          <w:b/>
                          <w:sz w:val="22"/>
                          <w:szCs w:val="22"/>
                        </w:rPr>
                        <w:fldChar w:fldCharType="separate"/>
                      </w:r>
                      <w:r w:rsidR="00246821">
                        <w:rPr>
                          <w:b/>
                          <w:noProof/>
                          <w:sz w:val="22"/>
                          <w:szCs w:val="22"/>
                        </w:rPr>
                        <w:t>4</w:t>
                      </w:r>
                      <w:r w:rsidRPr="000E57F5">
                        <w:rPr>
                          <w:b/>
                          <w:sz w:val="22"/>
                          <w:szCs w:val="22"/>
                        </w:rPr>
                        <w:fldChar w:fldCharType="end"/>
                      </w:r>
                      <w:bookmarkEnd w:id="29"/>
                      <w:r w:rsidRPr="000E57F5">
                        <w:rPr>
                          <w:b/>
                          <w:sz w:val="22"/>
                          <w:szCs w:val="22"/>
                        </w:rPr>
                        <w:t xml:space="preserve"> - Grand Valley Institution for Women, Ontario, Canada</w:t>
                      </w:r>
                      <w:r>
                        <w:t xml:space="preserve"> </w:t>
                      </w:r>
                      <w:r w:rsidR="004A3814">
                        <w:br/>
                      </w:r>
                      <w:r w:rsidRPr="000E57F5">
                        <w:rPr>
                          <w:sz w:val="20"/>
                        </w:rPr>
                        <w:t>(</w:t>
                      </w:r>
                      <w:r w:rsidRPr="000E57F5">
                        <w:rPr>
                          <w:rFonts w:eastAsia="Times New Roman" w:cs="Arial"/>
                          <w:sz w:val="20"/>
                          <w:shd w:val="clear" w:color="auto" w:fill="FFFFFF"/>
                        </w:rPr>
                        <w:t xml:space="preserve">Map data ©2015 Google Imagery ©2015, </w:t>
                      </w:r>
                      <w:proofErr w:type="spellStart"/>
                      <w:r w:rsidRPr="000E57F5">
                        <w:rPr>
                          <w:rFonts w:eastAsia="Times New Roman" w:cs="Arial"/>
                          <w:sz w:val="20"/>
                          <w:shd w:val="clear" w:color="auto" w:fill="FFFFFF"/>
                        </w:rPr>
                        <w:t>Cnes</w:t>
                      </w:r>
                      <w:proofErr w:type="spellEnd"/>
                      <w:r w:rsidRPr="000E57F5">
                        <w:rPr>
                          <w:rFonts w:eastAsia="Times New Roman" w:cs="Arial"/>
                          <w:sz w:val="20"/>
                          <w:shd w:val="clear" w:color="auto" w:fill="FFFFFF"/>
                        </w:rPr>
                        <w:t xml:space="preserve">/Spot Image, </w:t>
                      </w:r>
                      <w:proofErr w:type="spellStart"/>
                      <w:r w:rsidRPr="000E57F5">
                        <w:rPr>
                          <w:rFonts w:eastAsia="Times New Roman" w:cs="Arial"/>
                          <w:sz w:val="20"/>
                          <w:shd w:val="clear" w:color="auto" w:fill="FFFFFF"/>
                        </w:rPr>
                        <w:t>DigitalGlobe</w:t>
                      </w:r>
                      <w:proofErr w:type="spellEnd"/>
                      <w:r w:rsidRPr="000E57F5">
                        <w:rPr>
                          <w:rFonts w:eastAsia="Times New Roman" w:cs="Arial"/>
                          <w:sz w:val="20"/>
                          <w:shd w:val="clear" w:color="auto" w:fill="FFFFFF"/>
                        </w:rPr>
                        <w:t>, First Base Solutions)</w:t>
                      </w:r>
                    </w:p>
                    <w:p w14:paraId="09724A57" w14:textId="77777777" w:rsidR="00CD076F" w:rsidRPr="008C1C29" w:rsidRDefault="00CD076F" w:rsidP="004612F6">
                      <w:pPr>
                        <w:pStyle w:val="Caption"/>
                        <w:rPr>
                          <w:rFonts w:eastAsia="Times New Roman" w:cs="Arial"/>
                          <w:noProof/>
                          <w:sz w:val="24"/>
                          <w:szCs w:val="24"/>
                        </w:rPr>
                      </w:pPr>
                    </w:p>
                  </w:txbxContent>
                </v:textbox>
                <w10:wrap type="square"/>
              </v:shape>
            </w:pict>
          </mc:Fallback>
        </mc:AlternateContent>
      </w:r>
      <w:r w:rsidR="00855439">
        <w:br/>
      </w:r>
      <w:r w:rsidR="008A37EC" w:rsidRPr="008A37EC">
        <w:rPr>
          <w:b/>
        </w:rPr>
        <w:t>Australia</w:t>
      </w:r>
      <w:r w:rsidR="00C34606">
        <w:t>, which has a similar number of women in custody as Canada (</w:t>
      </w:r>
      <w:r w:rsidR="00245F8F">
        <w:t>2591 in 2014</w:t>
      </w:r>
      <w:r w:rsidR="00C34606">
        <w:t>)</w:t>
      </w:r>
      <w:r w:rsidR="00245F8F">
        <w:rPr>
          <w:rStyle w:val="EndnoteReference"/>
        </w:rPr>
        <w:endnoteReference w:id="70"/>
      </w:r>
      <w:r w:rsidR="00245F8F">
        <w:t>,</w:t>
      </w:r>
      <w:r w:rsidR="00C34606">
        <w:t xml:space="preserve"> </w:t>
      </w:r>
      <w:r w:rsidR="008A37EC" w:rsidRPr="008A37EC">
        <w:t>combines large prisons with smaller units and transitional centres</w:t>
      </w:r>
      <w:r w:rsidR="00245F8F">
        <w:t xml:space="preserve"> across its five states or territories</w:t>
      </w:r>
      <w:r w:rsidR="008A37EC" w:rsidRPr="008A37EC">
        <w:t xml:space="preserve">.  </w:t>
      </w:r>
      <w:r w:rsidR="00245F8F">
        <w:t>Recent prisons statistics (2014</w:t>
      </w:r>
      <w:r w:rsidR="00245F8F">
        <w:rPr>
          <w:rStyle w:val="EndnoteReference"/>
        </w:rPr>
        <w:endnoteReference w:id="71"/>
      </w:r>
      <w:r w:rsidR="00245F8F">
        <w:t xml:space="preserve">) state that Australia’s imprisonment rate has reached its highest since 2004.  </w:t>
      </w:r>
      <w:r w:rsidR="00BD2793">
        <w:t>That being said, Australia has received praise for its gender-specific approach in a number of its penal facilities.</w:t>
      </w:r>
    </w:p>
    <w:p w14:paraId="312F312B" w14:textId="77777777" w:rsidR="008A37EC" w:rsidRPr="008A37EC" w:rsidRDefault="00BD2793" w:rsidP="00402D02">
      <w:pPr>
        <w:pStyle w:val="SGBodytext"/>
      </w:pPr>
      <w:r>
        <w:t>For example, t</w:t>
      </w:r>
      <w:r w:rsidR="008A37EC" w:rsidRPr="008A37EC">
        <w:t xml:space="preserve">he </w:t>
      </w:r>
      <w:r w:rsidR="008A37EC" w:rsidRPr="0021366E">
        <w:rPr>
          <w:b/>
        </w:rPr>
        <w:t>Boronia</w:t>
      </w:r>
      <w:r w:rsidR="008A37EC" w:rsidRPr="00EB29FB">
        <w:rPr>
          <w:vertAlign w:val="superscript"/>
        </w:rPr>
        <w:endnoteReference w:id="72"/>
      </w:r>
      <w:r w:rsidR="008A37EC" w:rsidRPr="0021366E">
        <w:rPr>
          <w:b/>
        </w:rPr>
        <w:t xml:space="preserve"> Pre-Release Centre in Perth</w:t>
      </w:r>
      <w:r w:rsidR="008A37EC" w:rsidRPr="008A37EC">
        <w:t xml:space="preserve"> provides a low-security residential style setting for up to 82 women with a maximum of 5 per unit.  It is modelled on a ‘self care’ approach similar to Canada in which women have access to a café and supermarket and life is as close to the outside community as possible, and has been described as resembling a ‘well-kept suburban landscape </w:t>
      </w:r>
      <w:r>
        <w:t xml:space="preserve">[rather] </w:t>
      </w:r>
      <w:r w:rsidR="008A37EC" w:rsidRPr="008A37EC">
        <w:t>than [an] institutional setting’</w:t>
      </w:r>
      <w:r w:rsidR="008A37EC" w:rsidRPr="008A37EC">
        <w:rPr>
          <w:vertAlign w:val="superscript"/>
        </w:rPr>
        <w:endnoteReference w:id="73"/>
      </w:r>
      <w:r w:rsidR="008A37EC" w:rsidRPr="008A37EC">
        <w:t xml:space="preserve">.  An emphasis is placed not just on ‘self-care’ but also on </w:t>
      </w:r>
      <w:r w:rsidR="008A37EC" w:rsidRPr="000E57F5">
        <w:rPr>
          <w:b/>
        </w:rPr>
        <w:t xml:space="preserve">‘good neighbourly behaviours’ </w:t>
      </w:r>
      <w:r w:rsidR="008A37EC" w:rsidRPr="008A37EC">
        <w:t xml:space="preserve">to prepare women for life in the community.  A range of services are provided to prepare women for release (e.g. all women are employed whilst there).  As they approach the end of the sentence women are allowed </w:t>
      </w:r>
      <w:r w:rsidR="008A37EC" w:rsidRPr="00EB29FB">
        <w:rPr>
          <w:b/>
        </w:rPr>
        <w:t>periods of leave</w:t>
      </w:r>
      <w:r w:rsidR="008A37EC" w:rsidRPr="008A37EC">
        <w:t xml:space="preserve"> from the prison e.g. to re-establish connections with their families</w:t>
      </w:r>
      <w:r w:rsidR="008A37EC" w:rsidRPr="008A37EC">
        <w:rPr>
          <w:vertAlign w:val="superscript"/>
        </w:rPr>
        <w:endnoteReference w:id="74"/>
      </w:r>
      <w:r w:rsidR="008A37EC" w:rsidRPr="008A37EC">
        <w:t xml:space="preserve">.  </w:t>
      </w:r>
    </w:p>
    <w:p w14:paraId="7A7E15AF" w14:textId="77777777" w:rsidR="008A37EC" w:rsidRPr="008A37EC" w:rsidRDefault="008A37EC" w:rsidP="00402D02">
      <w:pPr>
        <w:pStyle w:val="SGBodytext"/>
      </w:pPr>
      <w:r w:rsidRPr="008A37EC">
        <w:t xml:space="preserve">Smaller units </w:t>
      </w:r>
      <w:r w:rsidR="000344A5">
        <w:t xml:space="preserve">in Australia </w:t>
      </w:r>
      <w:r w:rsidRPr="008A37EC">
        <w:t xml:space="preserve">tend to be </w:t>
      </w:r>
      <w:r w:rsidRPr="00EB29FB">
        <w:rPr>
          <w:b/>
        </w:rPr>
        <w:t>specialist in nature</w:t>
      </w:r>
      <w:r w:rsidRPr="008A37EC">
        <w:t xml:space="preserve"> focusing on mental health, mother-child relationships and the needs of Aboriginal and other ethnic minority women.  For example, the Mum Shirl Unit</w:t>
      </w:r>
      <w:r w:rsidRPr="008A37EC">
        <w:rPr>
          <w:vertAlign w:val="superscript"/>
        </w:rPr>
        <w:endnoteReference w:id="75"/>
      </w:r>
      <w:r w:rsidRPr="008A37EC">
        <w:t xml:space="preserve">, in NSW, is a 19 bed unit for women offenders with severe mental health problems (e.g. borderline personality disorder).  It is based on the </w:t>
      </w:r>
      <w:r w:rsidRPr="008A37EC">
        <w:lastRenderedPageBreak/>
        <w:t xml:space="preserve">principles of </w:t>
      </w:r>
      <w:r w:rsidRPr="000344A5">
        <w:t>the ‘</w:t>
      </w:r>
      <w:r w:rsidRPr="00EB29FB">
        <w:t>Good Lives Model’</w:t>
      </w:r>
      <w:r w:rsidRPr="008A37EC">
        <w:rPr>
          <w:vertAlign w:val="superscript"/>
        </w:rPr>
        <w:endnoteReference w:id="76"/>
      </w:r>
      <w:r w:rsidRPr="008A37EC">
        <w:t xml:space="preserve"> (a strengths-based approach) and works with day program participants too.</w:t>
      </w:r>
      <w:r w:rsidR="000344A5">
        <w:t xml:space="preserve">  Australia also has a specialist national unit for women with severe mental health problems.</w:t>
      </w:r>
    </w:p>
    <w:p w14:paraId="5212DD53" w14:textId="77777777" w:rsidR="008A37EC" w:rsidRPr="008A37EC" w:rsidRDefault="008A37EC" w:rsidP="00402D02">
      <w:pPr>
        <w:pStyle w:val="SGBodytext"/>
      </w:pPr>
      <w:r w:rsidRPr="008A37EC">
        <w:rPr>
          <w:b/>
        </w:rPr>
        <w:t>Norway</w:t>
      </w:r>
      <w:r w:rsidRPr="008A37EC">
        <w:t xml:space="preserve"> has three women-only prisons with capacity for 64, 50 and 13 women respectively. The largest of these - Bredtveit in Oslo - has a high-security facility with a capacity of 45.  The remaining places are lower-security, mostly for those who are in the final phase of a longer sentence, are preparing for treatment in an institution (as part of their sentence or afterwards) or are </w:t>
      </w:r>
      <w:r w:rsidRPr="0021366E">
        <w:rPr>
          <w:b/>
        </w:rPr>
        <w:t>active outside prison during the daytime</w:t>
      </w:r>
      <w:r w:rsidRPr="008A37EC">
        <w:t>.  The prison is reported by human rights organisations to be largely consistent with the Bangkok Rules</w:t>
      </w:r>
      <w:r w:rsidRPr="008A37EC">
        <w:rPr>
          <w:vertAlign w:val="superscript"/>
        </w:rPr>
        <w:endnoteReference w:id="77"/>
      </w:r>
      <w:r w:rsidRPr="008A37EC">
        <w:t>.</w:t>
      </w:r>
    </w:p>
    <w:p w14:paraId="38C191A5" w14:textId="77777777" w:rsidR="00F62CFE" w:rsidRPr="00EB29FB" w:rsidRDefault="008A37EC" w:rsidP="00402D02">
      <w:pPr>
        <w:pStyle w:val="SGBodytext"/>
      </w:pPr>
      <w:r w:rsidRPr="008A37EC">
        <w:t xml:space="preserve">In </w:t>
      </w:r>
      <w:r w:rsidRPr="008A37EC">
        <w:rPr>
          <w:b/>
        </w:rPr>
        <w:t xml:space="preserve">Sweden </w:t>
      </w:r>
      <w:r w:rsidRPr="008A37EC">
        <w:t xml:space="preserve">women are held in </w:t>
      </w:r>
      <w:r w:rsidRPr="00EB29FB">
        <w:t>one of four dedicated women’s prisons and one wing of a men’s prison.  There is a large women’s prison (Hinseberg</w:t>
      </w:r>
      <w:r w:rsidR="00CE2FE6" w:rsidRPr="00EB29FB">
        <w:t xml:space="preserve"> women</w:t>
      </w:r>
      <w:r w:rsidRPr="00EB29FB">
        <w:t xml:space="preserve">) which has a flat where children can have overnight stays.  </w:t>
      </w:r>
      <w:r w:rsidR="003F3171" w:rsidRPr="00EB29FB">
        <w:t>Hinseberg Prison has a capacity of 94 and is divided into a closed (60) and open (34) section.  Women are held in eight single-storey houses which hold 10-12 women each; women in the closed section are locked in their rooms at night</w:t>
      </w:r>
      <w:r w:rsidR="003F3171" w:rsidRPr="00EB29FB">
        <w:rPr>
          <w:rStyle w:val="EndnoteReference"/>
        </w:rPr>
        <w:endnoteReference w:id="78"/>
      </w:r>
      <w:r w:rsidR="003F3171" w:rsidRPr="00EB29FB">
        <w:t xml:space="preserve">.  </w:t>
      </w:r>
      <w:r w:rsidRPr="00EB29FB">
        <w:t xml:space="preserve">There are also a number of open prisons. </w:t>
      </w:r>
      <w:r w:rsidR="000344A5" w:rsidRPr="00EB29FB">
        <w:t xml:space="preserve"> </w:t>
      </w:r>
      <w:r w:rsidRPr="00EB29FB">
        <w:t>In Sweden, penal policy emphasises maintaining links with the community and some prisoners are held in small neighbourhood prisons where they access universal services</w:t>
      </w:r>
      <w:r w:rsidRPr="00EB29FB">
        <w:rPr>
          <w:vertAlign w:val="superscript"/>
        </w:rPr>
        <w:endnoteReference w:id="79"/>
      </w:r>
      <w:r w:rsidRPr="00EB29FB">
        <w:t xml:space="preserve">. </w:t>
      </w:r>
    </w:p>
    <w:p w14:paraId="74FD2E45" w14:textId="77777777" w:rsidR="00781FFD" w:rsidRPr="00EB29FB" w:rsidRDefault="00781FFD" w:rsidP="00781FFD">
      <w:pPr>
        <w:tabs>
          <w:tab w:val="clear" w:pos="720"/>
          <w:tab w:val="clear" w:pos="1440"/>
          <w:tab w:val="clear" w:pos="2160"/>
          <w:tab w:val="clear" w:pos="2880"/>
          <w:tab w:val="clear" w:pos="4680"/>
          <w:tab w:val="clear" w:pos="5400"/>
          <w:tab w:val="clear" w:pos="9000"/>
        </w:tabs>
        <w:spacing w:after="240" w:line="300" w:lineRule="exact"/>
        <w:rPr>
          <w:rFonts w:eastAsia="Times New Roman" w:cs="Arial"/>
          <w:noProof/>
          <w:sz w:val="24"/>
          <w:szCs w:val="24"/>
          <w:lang w:eastAsia="en-GB"/>
        </w:rPr>
      </w:pPr>
      <w:r w:rsidRPr="00EB29FB">
        <w:rPr>
          <w:rFonts w:eastAsia="Times New Roman" w:cs="Arial"/>
          <w:noProof/>
          <w:sz w:val="24"/>
          <w:szCs w:val="24"/>
          <w:lang w:eastAsia="en-GB"/>
        </w:rPr>
        <w:t xml:space="preserve">In </w:t>
      </w:r>
      <w:r w:rsidRPr="00EB29FB">
        <w:rPr>
          <w:rFonts w:eastAsia="Times New Roman" w:cs="Arial"/>
          <w:b/>
          <w:noProof/>
          <w:sz w:val="24"/>
          <w:szCs w:val="24"/>
          <w:lang w:eastAsia="en-GB"/>
        </w:rPr>
        <w:t>England</w:t>
      </w:r>
      <w:r w:rsidRPr="00EB29FB">
        <w:rPr>
          <w:rFonts w:eastAsia="Times New Roman" w:cs="Arial"/>
          <w:noProof/>
          <w:sz w:val="24"/>
          <w:szCs w:val="24"/>
          <w:lang w:eastAsia="en-GB"/>
        </w:rPr>
        <w:t>, a number of prisons are being reconfigured to allow some women to live in smaller open units next to existing (closed) prisons.  For example, a half-way house has been opened at HMP Styal which houses up to 25 women in open accommodation outside the prison.  It is understood that an open unit at HMP Drake is also to be developed</w:t>
      </w:r>
      <w:r w:rsidRPr="00EB29FB">
        <w:rPr>
          <w:rStyle w:val="FootnoteReference"/>
          <w:rFonts w:eastAsia="Times New Roman" w:cs="Arial"/>
          <w:noProof/>
          <w:szCs w:val="24"/>
          <w:lang w:eastAsia="en-GB"/>
        </w:rPr>
        <w:footnoteReference w:id="14"/>
      </w:r>
      <w:r w:rsidRPr="00EB29FB">
        <w:rPr>
          <w:rFonts w:eastAsia="Times New Roman" w:cs="Arial"/>
          <w:noProof/>
          <w:sz w:val="24"/>
          <w:szCs w:val="24"/>
          <w:lang w:eastAsia="en-GB"/>
        </w:rPr>
        <w:t>.</w:t>
      </w:r>
    </w:p>
    <w:p w14:paraId="2FE50A46" w14:textId="77777777" w:rsidR="00D153D4" w:rsidRPr="00EB29FB" w:rsidRDefault="00D153D4" w:rsidP="00781FFD">
      <w:pPr>
        <w:tabs>
          <w:tab w:val="clear" w:pos="720"/>
          <w:tab w:val="clear" w:pos="1440"/>
          <w:tab w:val="clear" w:pos="2160"/>
          <w:tab w:val="clear" w:pos="2880"/>
          <w:tab w:val="clear" w:pos="4680"/>
          <w:tab w:val="clear" w:pos="5400"/>
          <w:tab w:val="clear" w:pos="9000"/>
        </w:tabs>
        <w:spacing w:after="240" w:line="300" w:lineRule="exact"/>
        <w:rPr>
          <w:rFonts w:eastAsia="Times New Roman" w:cs="Arial"/>
          <w:noProof/>
          <w:sz w:val="24"/>
          <w:szCs w:val="24"/>
          <w:lang w:eastAsia="en-GB"/>
        </w:rPr>
      </w:pPr>
      <w:r w:rsidRPr="00EB29FB">
        <w:rPr>
          <w:rFonts w:eastAsia="Times New Roman" w:cs="Arial"/>
          <w:noProof/>
          <w:sz w:val="24"/>
          <w:szCs w:val="24"/>
          <w:lang w:eastAsia="en-GB"/>
        </w:rPr>
        <w:t>England is also developing new specialist units called Pyschologically Informed Planned Environments (PIPES) and Personality Disorder treatment services for women in five prisons</w:t>
      </w:r>
      <w:r w:rsidRPr="00EB29FB">
        <w:rPr>
          <w:rStyle w:val="FootnoteReference"/>
          <w:rFonts w:eastAsia="Times New Roman" w:cs="Arial"/>
          <w:noProof/>
          <w:szCs w:val="24"/>
          <w:lang w:eastAsia="en-GB"/>
        </w:rPr>
        <w:footnoteReference w:id="15"/>
      </w:r>
      <w:r w:rsidRPr="00EB29FB">
        <w:rPr>
          <w:rFonts w:eastAsia="Times New Roman" w:cs="Arial"/>
          <w:noProof/>
          <w:sz w:val="24"/>
          <w:szCs w:val="24"/>
          <w:lang w:eastAsia="en-GB"/>
        </w:rPr>
        <w:t>.  These services typically hold 12 to 24 women and are jointly run by NHS, NOMS and third sector staff</w:t>
      </w:r>
      <w:r w:rsidRPr="00EB29FB">
        <w:rPr>
          <w:rStyle w:val="EndnoteReference"/>
          <w:rFonts w:eastAsia="Times New Roman" w:cs="Arial"/>
          <w:noProof/>
          <w:szCs w:val="24"/>
          <w:lang w:eastAsia="en-GB"/>
        </w:rPr>
        <w:endnoteReference w:id="80"/>
      </w:r>
      <w:r w:rsidRPr="00EB29FB">
        <w:rPr>
          <w:rFonts w:eastAsia="Times New Roman" w:cs="Arial"/>
          <w:noProof/>
          <w:sz w:val="24"/>
          <w:szCs w:val="24"/>
          <w:lang w:eastAsia="en-GB"/>
        </w:rPr>
        <w:t>.</w:t>
      </w:r>
    </w:p>
    <w:p w14:paraId="0FF53D4C" w14:textId="55FE6667" w:rsidR="00C03604" w:rsidRDefault="00C03604" w:rsidP="00C03604">
      <w:pPr>
        <w:rPr>
          <w:rFonts w:eastAsia="Times New Roman"/>
          <w:sz w:val="24"/>
        </w:rPr>
      </w:pPr>
      <w:r w:rsidRPr="00C03604">
        <w:rPr>
          <w:rFonts w:eastAsia="Times New Roman"/>
          <w:sz w:val="24"/>
        </w:rPr>
        <w:t>Scotland also has a number of community integration units (CIUs) attached to closed prisons.  For example, CIUs were established in HMP Inverness and HMP Aberdeen in 2010 (since replaced by HMP Grampian in 2014) to help women access community services and support networks prior to release.</w:t>
      </w:r>
    </w:p>
    <w:p w14:paraId="41F57CB9" w14:textId="082D8971" w:rsidR="00402D02" w:rsidRDefault="00402D02" w:rsidP="00402D02">
      <w:pPr>
        <w:pStyle w:val="SGBodytext"/>
      </w:pPr>
      <w:r>
        <w:br/>
        <w:t xml:space="preserve">An example of another specialist unit (mother and child units in Spain) is discussed in Chapter 8 (see </w:t>
      </w:r>
      <w:r w:rsidRPr="00EB29FB">
        <w:rPr>
          <w:i/>
        </w:rPr>
        <w:t>International approaches to parental responsibilities</w:t>
      </w:r>
      <w:r>
        <w:t>).</w:t>
      </w:r>
    </w:p>
    <w:p w14:paraId="4E3D47BA" w14:textId="557E92BF" w:rsidR="008A37EC" w:rsidRPr="008A37EC" w:rsidRDefault="008A37EC" w:rsidP="00072B27">
      <w:pPr>
        <w:pStyle w:val="Heading2blue"/>
        <w:rPr>
          <w:rFonts w:eastAsiaTheme="majorEastAsia"/>
        </w:rPr>
      </w:pPr>
      <w:bookmarkStart w:id="30" w:name="_Toc429555812"/>
      <w:r w:rsidRPr="008A37EC">
        <w:rPr>
          <w:rFonts w:eastAsiaTheme="majorEastAsia"/>
        </w:rPr>
        <w:t xml:space="preserve">Other </w:t>
      </w:r>
      <w:r w:rsidR="00D67EB9">
        <w:rPr>
          <w:rFonts w:eastAsiaTheme="majorEastAsia"/>
        </w:rPr>
        <w:t>custodial approaches</w:t>
      </w:r>
      <w:bookmarkEnd w:id="30"/>
    </w:p>
    <w:p w14:paraId="1FF59BFA" w14:textId="77777777" w:rsidR="008A37EC" w:rsidRPr="008A37EC" w:rsidRDefault="002534E9" w:rsidP="00402D02">
      <w:pPr>
        <w:pStyle w:val="SGBodytext"/>
      </w:pPr>
      <w:r>
        <w:t xml:space="preserve">In </w:t>
      </w:r>
      <w:r w:rsidRPr="00EB29FB">
        <w:rPr>
          <w:b/>
        </w:rPr>
        <w:t>Denmark</w:t>
      </w:r>
      <w:r>
        <w:t xml:space="preserve"> </w:t>
      </w:r>
      <w:r w:rsidRPr="008A37EC">
        <w:t xml:space="preserve">the principle of normality is enshrined in law </w:t>
      </w:r>
      <w:r>
        <w:t>and its penal</w:t>
      </w:r>
      <w:r w:rsidR="008A37EC" w:rsidRPr="008A37EC">
        <w:t xml:space="preserve"> philosophy is for prison to be as similar to life outside prison as possible </w:t>
      </w:r>
      <w:r w:rsidRPr="008A37EC">
        <w:t>(a similar system operates in Sweden)</w:t>
      </w:r>
      <w:r w:rsidR="008A37EC" w:rsidRPr="008A37EC">
        <w:t>.  This extends to private family visits (including conjugal visits) which are considered to be a human right that cannot be taken away</w:t>
      </w:r>
      <w:r w:rsidR="008A37EC" w:rsidRPr="008A37EC">
        <w:rPr>
          <w:vertAlign w:val="superscript"/>
        </w:rPr>
        <w:endnoteReference w:id="81"/>
      </w:r>
      <w:r w:rsidR="008A37EC" w:rsidRPr="008A37EC">
        <w:t xml:space="preserve">. If a couple has a child, </w:t>
      </w:r>
      <w:r w:rsidR="008A37EC" w:rsidRPr="008A37EC">
        <w:lastRenderedPageBreak/>
        <w:t>he/she can stay with them until he/she is three years old</w:t>
      </w:r>
      <w:r>
        <w:t xml:space="preserve"> and attend</w:t>
      </w:r>
      <w:r w:rsidR="008A37EC" w:rsidRPr="008A37EC">
        <w:t xml:space="preserve"> a local nursery during the day</w:t>
      </w:r>
      <w:r w:rsidR="008A37EC" w:rsidRPr="008A37EC">
        <w:rPr>
          <w:vertAlign w:val="superscript"/>
        </w:rPr>
        <w:endnoteReference w:id="82"/>
      </w:r>
      <w:r w:rsidR="008A37EC" w:rsidRPr="008A37EC">
        <w:t xml:space="preserve">.  </w:t>
      </w:r>
    </w:p>
    <w:p w14:paraId="2C6D891C" w14:textId="77777777" w:rsidR="008A37EC" w:rsidRPr="008A37EC" w:rsidRDefault="008A37EC" w:rsidP="00402D02">
      <w:pPr>
        <w:pStyle w:val="SGBodytext"/>
      </w:pPr>
      <w:r w:rsidRPr="008A37EC">
        <w:t xml:space="preserve">Two other overarching principles enshrined in law in Denmark are </w:t>
      </w:r>
      <w:r w:rsidRPr="0021366E">
        <w:rPr>
          <w:b/>
        </w:rPr>
        <w:t>self-management</w:t>
      </w:r>
      <w:r w:rsidRPr="008A37EC">
        <w:t>, and the outlawing of prison overcrowding.  In relation to the former, prisoners are required to do their own shopping, cooking, laundry and cleaning; all institutions therefore have facilities for shopping and communal kitchens.  Prisoners who do not work are given a budget for self-catering</w:t>
      </w:r>
      <w:r w:rsidRPr="008A37EC">
        <w:rPr>
          <w:vertAlign w:val="superscript"/>
        </w:rPr>
        <w:endnoteReference w:id="83"/>
      </w:r>
      <w:r w:rsidRPr="008A37EC">
        <w:t>.   For example, the high security prison, Ringe, in Denmark, men and women (up to 86</w:t>
      </w:r>
      <w:r w:rsidR="002534E9">
        <w:t xml:space="preserve"> prisoners</w:t>
      </w:r>
      <w:r w:rsidRPr="008A37EC">
        <w:t xml:space="preserve">) live together in units of around 10 people, where they share a communal kitchen and bathroom.  </w:t>
      </w:r>
    </w:p>
    <w:p w14:paraId="0131AEFF" w14:textId="77777777" w:rsidR="008A37EC" w:rsidRPr="00EB29FB" w:rsidRDefault="008A37EC" w:rsidP="00402D02">
      <w:pPr>
        <w:pStyle w:val="SGBodytext"/>
      </w:pPr>
      <w:r w:rsidRPr="008A37EC">
        <w:rPr>
          <w:b/>
        </w:rPr>
        <w:t>Spain</w:t>
      </w:r>
      <w:r w:rsidRPr="008A37EC">
        <w:t xml:space="preserve"> also has a number of </w:t>
      </w:r>
      <w:r w:rsidRPr="0021366E">
        <w:rPr>
          <w:b/>
        </w:rPr>
        <w:t>mixed prisons</w:t>
      </w:r>
      <w:r w:rsidRPr="008A37EC">
        <w:t xml:space="preserve"> in which contact between men and women is not forbidden and</w:t>
      </w:r>
      <w:r w:rsidR="002E113F">
        <w:t>,</w:t>
      </w:r>
      <w:r w:rsidRPr="008A37EC">
        <w:t xml:space="preserve"> </w:t>
      </w:r>
      <w:r w:rsidR="002E113F">
        <w:t xml:space="preserve">it is considered, </w:t>
      </w:r>
      <w:r w:rsidRPr="008A37EC">
        <w:t xml:space="preserve">may be beneficial to some women.  One study, for example, reported that being in </w:t>
      </w:r>
      <w:r w:rsidR="009054D0">
        <w:t xml:space="preserve">a </w:t>
      </w:r>
      <w:r w:rsidRPr="008A37EC">
        <w:t xml:space="preserve">relationship </w:t>
      </w:r>
      <w:r w:rsidR="009054D0">
        <w:t>with another (male) prisoner</w:t>
      </w:r>
      <w:r w:rsidRPr="008A37EC">
        <w:t xml:space="preserve"> can have a positive effect on women’s psychological health</w:t>
      </w:r>
      <w:r w:rsidRPr="008A37EC">
        <w:rPr>
          <w:vertAlign w:val="superscript"/>
        </w:rPr>
        <w:endnoteReference w:id="84"/>
      </w:r>
      <w:r w:rsidRPr="008A37EC">
        <w:t xml:space="preserve">.   </w:t>
      </w:r>
      <w:r w:rsidR="009054D0">
        <w:t xml:space="preserve">That </w:t>
      </w:r>
      <w:r w:rsidR="009054D0" w:rsidRPr="00EB29FB">
        <w:t xml:space="preserve">being said, other reviews </w:t>
      </w:r>
      <w:r w:rsidR="00E02076" w:rsidRPr="00EB29FB">
        <w:t xml:space="preserve">and evaluations </w:t>
      </w:r>
      <w:r w:rsidR="009054D0" w:rsidRPr="00EB29FB">
        <w:t>have</w:t>
      </w:r>
      <w:r w:rsidR="00157A7A" w:rsidRPr="00EB29FB">
        <w:t xml:space="preserve"> highlighted the importance of w</w:t>
      </w:r>
      <w:r w:rsidR="009054D0" w:rsidRPr="00EB29FB">
        <w:t xml:space="preserve">omen-only </w:t>
      </w:r>
      <w:r w:rsidR="00157A7A" w:rsidRPr="00EB29FB">
        <w:t xml:space="preserve">services and </w:t>
      </w:r>
      <w:r w:rsidR="002E113F" w:rsidRPr="00EB29FB">
        <w:t xml:space="preserve">‘safe’ </w:t>
      </w:r>
      <w:r w:rsidR="00157A7A" w:rsidRPr="00EB29FB">
        <w:t>environments</w:t>
      </w:r>
      <w:r w:rsidR="009054D0" w:rsidRPr="00EB29FB">
        <w:t>, particularly for victims of previous trauma and domestic abuse</w:t>
      </w:r>
      <w:r w:rsidR="003848F1" w:rsidRPr="00EB29FB">
        <w:rPr>
          <w:rStyle w:val="EndnoteReference"/>
        </w:rPr>
        <w:endnoteReference w:id="85"/>
      </w:r>
      <w:r w:rsidR="003848F1" w:rsidRPr="00EB29FB">
        <w:t>.</w:t>
      </w:r>
      <w:r w:rsidR="00AA558D" w:rsidRPr="00EB29FB">
        <w:t xml:space="preserve">  Similarly, mixed-gender facilities have been abolished in a number of countries, such as Sweden</w:t>
      </w:r>
      <w:r w:rsidR="00AA558D" w:rsidRPr="00EB29FB">
        <w:rPr>
          <w:rStyle w:val="EndnoteReference"/>
        </w:rPr>
        <w:endnoteReference w:id="86"/>
      </w:r>
      <w:r w:rsidR="00AA558D" w:rsidRPr="00EB29FB">
        <w:t>.</w:t>
      </w:r>
    </w:p>
    <w:p w14:paraId="6A132C79" w14:textId="77777777" w:rsidR="00CE491F" w:rsidRPr="00EB29FB" w:rsidRDefault="00CE491F" w:rsidP="00402D02">
      <w:pPr>
        <w:pStyle w:val="SGBodytext"/>
      </w:pPr>
      <w:r w:rsidRPr="00EB29FB">
        <w:rPr>
          <w:b/>
        </w:rPr>
        <w:t>France</w:t>
      </w:r>
      <w:r w:rsidRPr="00EB29FB">
        <w:t xml:space="preserve"> has two women’s prisons.  The remainder of women in custody are held in female units within men’s prisons</w:t>
      </w:r>
      <w:r w:rsidR="00EE636D">
        <w:t>,</w:t>
      </w:r>
      <w:r w:rsidRPr="00EB29FB">
        <w:t xml:space="preserve"> across about 50 institutions</w:t>
      </w:r>
      <w:r w:rsidR="006344F1" w:rsidRPr="00EB29FB">
        <w:rPr>
          <w:rStyle w:val="EndnoteReference"/>
        </w:rPr>
        <w:endnoteReference w:id="87"/>
      </w:r>
      <w:r w:rsidR="006344F1" w:rsidRPr="00EB29FB">
        <w:t xml:space="preserve">.  </w:t>
      </w:r>
    </w:p>
    <w:p w14:paraId="7C9E14DE" w14:textId="77777777" w:rsidR="00882D76" w:rsidRPr="008A37EC" w:rsidRDefault="00882D76" w:rsidP="00402D02">
      <w:pPr>
        <w:pStyle w:val="SGBodytext"/>
      </w:pPr>
      <w:r w:rsidRPr="008A37EC">
        <w:t xml:space="preserve">Most female prisoners in </w:t>
      </w:r>
      <w:r w:rsidRPr="008A37EC">
        <w:rPr>
          <w:b/>
        </w:rPr>
        <w:t>Ireland</w:t>
      </w:r>
      <w:r w:rsidRPr="008A37EC">
        <w:t xml:space="preserve"> are held at the national closed medium security prison in Dublin (the Dochas Centre</w:t>
      </w:r>
      <w:r w:rsidR="002E113F" w:rsidRPr="008A37EC">
        <w:rPr>
          <w:vertAlign w:val="superscript"/>
        </w:rPr>
        <w:endnoteReference w:id="88"/>
      </w:r>
      <w:r w:rsidR="002E113F" w:rsidRPr="008A37EC">
        <w:t>)</w:t>
      </w:r>
      <w:r w:rsidRPr="008A37EC">
        <w:t xml:space="preserve"> which houses up to 105 women serving long sentences/serious offenders, and all female offenders from the east and north of Ireland.  The remaining women from the south and west are held in Limerick prison (capacity of 28) which is traditional closed medium security prison which also holds up to 220 men.  </w:t>
      </w:r>
      <w:r w:rsidR="007D5CCA">
        <w:t xml:space="preserve">As noted earlier, criticisms have been made of the Irish penal system in respect of overcrowding and a rising female prison population (see </w:t>
      </w:r>
      <w:r w:rsidR="007D5CCA" w:rsidRPr="00EB29FB">
        <w:rPr>
          <w:i/>
        </w:rPr>
        <w:t>Non-residential alternatives to custody</w:t>
      </w:r>
      <w:r w:rsidR="007D5CCA">
        <w:t>).</w:t>
      </w:r>
    </w:p>
    <w:p w14:paraId="57937811" w14:textId="77777777" w:rsidR="008A37EC" w:rsidRPr="00D17C56" w:rsidRDefault="008A37EC" w:rsidP="00402D02">
      <w:pPr>
        <w:pStyle w:val="SGBodytext"/>
      </w:pPr>
      <w:r w:rsidRPr="008A37EC">
        <w:rPr>
          <w:b/>
        </w:rPr>
        <w:t>Northern Ireland</w:t>
      </w:r>
      <w:r w:rsidRPr="008A37EC">
        <w:t xml:space="preserve"> has faced </w:t>
      </w:r>
      <w:r w:rsidR="00AE1651">
        <w:t>criticism</w:t>
      </w:r>
      <w:r w:rsidRPr="008A37EC">
        <w:t xml:space="preserve"> for delaying its replacement of its women’s prison, Ash House</w:t>
      </w:r>
      <w:r w:rsidR="002E4503">
        <w:t xml:space="preserve"> (a predominantly male prison)</w:t>
      </w:r>
      <w:r w:rsidRPr="008A37EC">
        <w:t>, with a smaller, separate women-only facility</w:t>
      </w:r>
      <w:r w:rsidRPr="008A37EC">
        <w:rPr>
          <w:vertAlign w:val="superscript"/>
        </w:rPr>
        <w:endnoteReference w:id="89"/>
      </w:r>
      <w:r w:rsidRPr="008A37EC">
        <w:t xml:space="preserve">.  The proposal for the new prison is based on a </w:t>
      </w:r>
      <w:r w:rsidRPr="002E113F">
        <w:t>multiple security</w:t>
      </w:r>
      <w:r w:rsidRPr="008A37EC">
        <w:rPr>
          <w:b/>
        </w:rPr>
        <w:t xml:space="preserve"> ‘community village model’</w:t>
      </w:r>
      <w:r w:rsidRPr="008A37EC">
        <w:t xml:space="preserve">  which would </w:t>
      </w:r>
      <w:r w:rsidR="00AE1651">
        <w:t>accommodate</w:t>
      </w:r>
      <w:r w:rsidRPr="008A37EC">
        <w:t xml:space="preserve"> mothers and babies, as well as serious offenders and those with severe mental health </w:t>
      </w:r>
      <w:r w:rsidRPr="00D17C56">
        <w:t>needs.  The Northern Ireland Prison Service (NIPS) Review in 2011</w:t>
      </w:r>
      <w:r w:rsidR="002E113F" w:rsidRPr="00D17C56">
        <w:rPr>
          <w:rFonts w:ascii="Calibri" w:hAnsi="Calibri" w:cs="Calibri"/>
          <w:vertAlign w:val="superscript"/>
        </w:rPr>
        <w:endnoteReference w:id="90"/>
      </w:r>
      <w:r w:rsidR="002E113F" w:rsidRPr="00D17C56">
        <w:t xml:space="preserve"> </w:t>
      </w:r>
      <w:r w:rsidRPr="00D17C56">
        <w:t>stated that:</w:t>
      </w:r>
    </w:p>
    <w:p w14:paraId="4F7201E9" w14:textId="77777777" w:rsidR="008A37EC" w:rsidRPr="00D17C56" w:rsidRDefault="008A37EC" w:rsidP="00D17C56">
      <w:pPr>
        <w:pStyle w:val="SGBodyIndent"/>
        <w:rPr>
          <w:sz w:val="24"/>
          <w:szCs w:val="24"/>
        </w:rPr>
      </w:pPr>
      <w:r w:rsidRPr="00D17C56">
        <w:rPr>
          <w:sz w:val="24"/>
          <w:szCs w:val="24"/>
        </w:rPr>
        <w:t>“</w:t>
      </w:r>
      <w:proofErr w:type="gramStart"/>
      <w:r w:rsidRPr="00D17C56">
        <w:rPr>
          <w:sz w:val="24"/>
          <w:szCs w:val="24"/>
        </w:rPr>
        <w:t>the</w:t>
      </w:r>
      <w:proofErr w:type="gramEnd"/>
      <w:r w:rsidRPr="00D17C56">
        <w:rPr>
          <w:sz w:val="24"/>
          <w:szCs w:val="24"/>
        </w:rPr>
        <w:t xml:space="preserve"> ideal configuration would be a complex of buildings that contained a secure custodial pod, with other services (education, health, probation, community service, programmes </w:t>
      </w:r>
      <w:proofErr w:type="spellStart"/>
      <w:r w:rsidRPr="00D17C56">
        <w:rPr>
          <w:sz w:val="24"/>
          <w:szCs w:val="24"/>
        </w:rPr>
        <w:t>etc</w:t>
      </w:r>
      <w:proofErr w:type="spellEnd"/>
      <w:r w:rsidRPr="00D17C56">
        <w:rPr>
          <w:sz w:val="24"/>
          <w:szCs w:val="24"/>
        </w:rPr>
        <w:t xml:space="preserve">) attached and within a secure perimeter. These services could be accessed by all women either in custody, under supervision or subject to other court orders.” (p69)  </w:t>
      </w:r>
    </w:p>
    <w:p w14:paraId="63C02A66" w14:textId="77777777" w:rsidR="008A37EC" w:rsidRDefault="008A37EC" w:rsidP="00402D02">
      <w:pPr>
        <w:pStyle w:val="SGBodytext"/>
      </w:pPr>
      <w:r w:rsidRPr="008A37EC">
        <w:t xml:space="preserve">Despite these delays, work is underway to develop </w:t>
      </w:r>
      <w:r w:rsidRPr="00EB29FB">
        <w:rPr>
          <w:b/>
        </w:rPr>
        <w:t>‘step-down accommodation’</w:t>
      </w:r>
      <w:r w:rsidRPr="008A37EC">
        <w:t xml:space="preserve"> </w:t>
      </w:r>
      <w:r w:rsidR="00154A8B">
        <w:t xml:space="preserve">(temporary supported accommodation) </w:t>
      </w:r>
      <w:r w:rsidRPr="008A37EC">
        <w:t xml:space="preserve">for women </w:t>
      </w:r>
      <w:r w:rsidR="00154A8B">
        <w:t xml:space="preserve">deemed </w:t>
      </w:r>
      <w:r w:rsidRPr="008A37EC">
        <w:t>suitable for working and accessing services outwith prison, in preparation for their release</w:t>
      </w:r>
      <w:r w:rsidR="002E113F" w:rsidRPr="008A37EC">
        <w:rPr>
          <w:vertAlign w:val="superscript"/>
        </w:rPr>
        <w:endnoteReference w:id="91"/>
      </w:r>
      <w:r w:rsidR="002E113F" w:rsidRPr="008A37EC">
        <w:t>.</w:t>
      </w:r>
      <w:r w:rsidRPr="008A37EC">
        <w:t xml:space="preserve">  </w:t>
      </w:r>
    </w:p>
    <w:p w14:paraId="5E277454" w14:textId="77777777" w:rsidR="007F5CF4" w:rsidRPr="00D36847" w:rsidRDefault="004951FD" w:rsidP="00402D02">
      <w:pPr>
        <w:pStyle w:val="SGBodytext"/>
      </w:pPr>
      <w:r w:rsidRPr="00D36847">
        <w:lastRenderedPageBreak/>
        <w:t xml:space="preserve">There are 12 women’s prisons in </w:t>
      </w:r>
      <w:r w:rsidRPr="00D36847">
        <w:rPr>
          <w:b/>
        </w:rPr>
        <w:t>England</w:t>
      </w:r>
      <w:r w:rsidRPr="00D36847">
        <w:t xml:space="preserve">, which, following a review of the custodial estate </w:t>
      </w:r>
      <w:r w:rsidR="00477F66">
        <w:t xml:space="preserve">by NOMS </w:t>
      </w:r>
      <w:r w:rsidRPr="00D36847">
        <w:t>in 2013</w:t>
      </w:r>
      <w:r w:rsidRPr="009049E1">
        <w:rPr>
          <w:rStyle w:val="EndnoteReference"/>
        </w:rPr>
        <w:endnoteReference w:id="92"/>
      </w:r>
      <w:r w:rsidRPr="00D36847">
        <w:t xml:space="preserve"> have </w:t>
      </w:r>
      <w:r w:rsidR="007D5CCA">
        <w:t xml:space="preserve">now </w:t>
      </w:r>
      <w:r w:rsidRPr="00D36847">
        <w:t>been designated as ‘resettlement’ prisons</w:t>
      </w:r>
      <w:r w:rsidR="000B6F57" w:rsidRPr="00D36847">
        <w:t xml:space="preserve"> i.e. prisons that are designed to help women prepare </w:t>
      </w:r>
      <w:r w:rsidR="004D0E1E">
        <w:t xml:space="preserve">for </w:t>
      </w:r>
      <w:r w:rsidR="000B6F57" w:rsidRPr="00D36847">
        <w:t>release, particularly those serving longer sentences</w:t>
      </w:r>
      <w:r w:rsidRPr="00D36847">
        <w:t xml:space="preserve">.  </w:t>
      </w:r>
      <w:r w:rsidR="000B6F57" w:rsidRPr="00D36847">
        <w:t xml:space="preserve">Similar </w:t>
      </w:r>
      <w:r w:rsidR="005A3E46">
        <w:t xml:space="preserve">(in principle) </w:t>
      </w:r>
      <w:r w:rsidR="000B6F57" w:rsidRPr="00D36847">
        <w:t>to open prisons, these are designed to allow some women to work or train outwith the prison during the day</w:t>
      </w:r>
      <w:r w:rsidR="007D5CCA">
        <w:t xml:space="preserve"> and </w:t>
      </w:r>
      <w:r w:rsidR="00C03604">
        <w:t xml:space="preserve">to </w:t>
      </w:r>
      <w:r w:rsidR="007D5CCA">
        <w:t>be held closer to home</w:t>
      </w:r>
      <w:r w:rsidR="000B6F57" w:rsidRPr="00D36847">
        <w:t xml:space="preserve">.  </w:t>
      </w:r>
      <w:r w:rsidR="00E05A06">
        <w:t>T</w:t>
      </w:r>
      <w:r w:rsidR="00C77AA1">
        <w:t xml:space="preserve">emporary </w:t>
      </w:r>
      <w:r w:rsidR="00E05A06">
        <w:t xml:space="preserve">release </w:t>
      </w:r>
      <w:r w:rsidR="00C77AA1">
        <w:t xml:space="preserve">licences </w:t>
      </w:r>
      <w:r w:rsidR="00E05A06">
        <w:t xml:space="preserve">(which women are less likely to fail than men) </w:t>
      </w:r>
      <w:r w:rsidR="00C77AA1">
        <w:t>are available in all resettlement prisons to enable eligible women to undertake work, training and educational opportunities and family visits</w:t>
      </w:r>
      <w:r w:rsidR="00C77AA1">
        <w:rPr>
          <w:rStyle w:val="EndnoteReference"/>
        </w:rPr>
        <w:endnoteReference w:id="93"/>
      </w:r>
      <w:r w:rsidR="00C77AA1">
        <w:t xml:space="preserve">.  </w:t>
      </w:r>
      <w:r w:rsidR="00E05A06">
        <w:t>However, a</w:t>
      </w:r>
      <w:r w:rsidR="007F5CF4" w:rsidRPr="00D36847">
        <w:t xml:space="preserve"> recent report from the </w:t>
      </w:r>
      <w:r w:rsidR="005A3E46">
        <w:t xml:space="preserve">UK Parliament </w:t>
      </w:r>
      <w:r w:rsidR="007F5CF4" w:rsidRPr="00D36847">
        <w:t>Justice Committee states that</w:t>
      </w:r>
      <w:r w:rsidR="00BB7196" w:rsidRPr="00D36847">
        <w:t>:</w:t>
      </w:r>
      <w:r w:rsidR="007F5CF4" w:rsidRPr="00D36847">
        <w:t xml:space="preserve"> </w:t>
      </w:r>
    </w:p>
    <w:p w14:paraId="2AA69C39" w14:textId="77777777" w:rsidR="007F5CF4" w:rsidRPr="00EB29FB" w:rsidRDefault="007F5CF4" w:rsidP="007F5CF4">
      <w:pPr>
        <w:pStyle w:val="SGBodyIndent"/>
        <w:rPr>
          <w:sz w:val="24"/>
          <w:szCs w:val="24"/>
        </w:rPr>
      </w:pPr>
      <w:r w:rsidRPr="00EB29FB">
        <w:rPr>
          <w:sz w:val="24"/>
          <w:szCs w:val="24"/>
        </w:rPr>
        <w:t xml:space="preserve">“We remain of the view that an estate consisting principally of </w:t>
      </w:r>
      <w:r w:rsidRPr="00EB29FB">
        <w:rPr>
          <w:b/>
          <w:sz w:val="24"/>
          <w:szCs w:val="24"/>
        </w:rPr>
        <w:t>small custodial units is best suited to women in custody</w:t>
      </w:r>
      <w:r w:rsidRPr="00EB29FB">
        <w:rPr>
          <w:sz w:val="24"/>
          <w:szCs w:val="24"/>
        </w:rPr>
        <w:t xml:space="preserve">. This should be the long term aim of the Government, when it has been successful in reducing the size of the women's prison population”. </w:t>
      </w:r>
      <w:proofErr w:type="gramStart"/>
      <w:r w:rsidRPr="00EB29FB">
        <w:rPr>
          <w:sz w:val="24"/>
          <w:szCs w:val="24"/>
        </w:rPr>
        <w:t>(</w:t>
      </w:r>
      <w:r w:rsidR="00D36847" w:rsidRPr="00EB29FB">
        <w:rPr>
          <w:sz w:val="24"/>
          <w:szCs w:val="24"/>
        </w:rPr>
        <w:t xml:space="preserve">UK </w:t>
      </w:r>
      <w:r w:rsidRPr="00EB29FB">
        <w:rPr>
          <w:sz w:val="24"/>
          <w:szCs w:val="24"/>
        </w:rPr>
        <w:t>Justice Committee</w:t>
      </w:r>
      <w:r w:rsidR="00BB7196" w:rsidRPr="00EB29FB">
        <w:rPr>
          <w:sz w:val="24"/>
          <w:szCs w:val="24"/>
        </w:rPr>
        <w:t xml:space="preserve"> 17 March 2015 </w:t>
      </w:r>
      <w:r w:rsidR="00933E4F" w:rsidRPr="00EB29FB">
        <w:rPr>
          <w:sz w:val="24"/>
          <w:szCs w:val="24"/>
        </w:rPr>
        <w:t>[</w:t>
      </w:r>
      <w:r w:rsidRPr="00EB29FB">
        <w:rPr>
          <w:sz w:val="24"/>
          <w:szCs w:val="24"/>
        </w:rPr>
        <w:t>23</w:t>
      </w:r>
      <w:r w:rsidR="00933E4F" w:rsidRPr="00EB29FB">
        <w:rPr>
          <w:sz w:val="24"/>
          <w:szCs w:val="24"/>
        </w:rPr>
        <w:t>]</w:t>
      </w:r>
      <w:r w:rsidR="00AA558D" w:rsidRPr="00EB29FB">
        <w:rPr>
          <w:rStyle w:val="EndnoteReference"/>
          <w:sz w:val="24"/>
          <w:szCs w:val="24"/>
        </w:rPr>
        <w:endnoteReference w:id="94"/>
      </w:r>
      <w:r w:rsidR="00AA558D" w:rsidRPr="00EB29FB">
        <w:rPr>
          <w:sz w:val="24"/>
          <w:szCs w:val="24"/>
        </w:rPr>
        <w:t>.</w:t>
      </w:r>
      <w:r w:rsidR="00BB7196" w:rsidRPr="00EB29FB">
        <w:rPr>
          <w:sz w:val="24"/>
          <w:szCs w:val="24"/>
        </w:rPr>
        <w:t>)</w:t>
      </w:r>
      <w:proofErr w:type="gramEnd"/>
      <w:r w:rsidRPr="00EB29FB">
        <w:rPr>
          <w:sz w:val="24"/>
          <w:szCs w:val="24"/>
        </w:rPr>
        <w:tab/>
      </w:r>
    </w:p>
    <w:p w14:paraId="54C40B26" w14:textId="77777777" w:rsidR="007F5CF4" w:rsidRPr="00D36847" w:rsidRDefault="007F5CF4" w:rsidP="00402D02">
      <w:pPr>
        <w:pStyle w:val="SGBodytext"/>
      </w:pPr>
      <w:r w:rsidRPr="00EB29FB">
        <w:t xml:space="preserve">The report notes </w:t>
      </w:r>
      <w:r w:rsidR="00D36847" w:rsidRPr="00EB29FB">
        <w:t xml:space="preserve">that </w:t>
      </w:r>
      <w:r w:rsidR="005A3E46" w:rsidRPr="00EB29FB">
        <w:t>the Committee’s</w:t>
      </w:r>
      <w:r w:rsidRPr="00EB29FB">
        <w:t xml:space="preserve"> recommendation for the development </w:t>
      </w:r>
      <w:r w:rsidRPr="00D36847">
        <w:t xml:space="preserve">of small custodial units has not been accepted by the UK Government.  </w:t>
      </w:r>
      <w:r w:rsidR="00D36847" w:rsidRPr="00D36847">
        <w:t>Instead t</w:t>
      </w:r>
      <w:r w:rsidRPr="00D36847">
        <w:t xml:space="preserve">he UK Government </w:t>
      </w:r>
      <w:r w:rsidR="005A3E46">
        <w:t xml:space="preserve">is </w:t>
      </w:r>
      <w:r w:rsidR="005A3E46" w:rsidRPr="00C77AA1">
        <w:t>developing</w:t>
      </w:r>
      <w:r w:rsidRPr="00C77AA1">
        <w:t xml:space="preserve"> </w:t>
      </w:r>
      <w:r w:rsidRPr="00EB29FB">
        <w:t>‘strategic hubs’</w:t>
      </w:r>
      <w:r w:rsidRPr="00D36847">
        <w:t xml:space="preserve"> – </w:t>
      </w:r>
      <w:r w:rsidR="00C77AA1">
        <w:t xml:space="preserve">resettlement </w:t>
      </w:r>
      <w:r w:rsidRPr="00EB29FB">
        <w:rPr>
          <w:b/>
        </w:rPr>
        <w:t xml:space="preserve">prisons situated close to large urban areas </w:t>
      </w:r>
      <w:r w:rsidRPr="00D36847">
        <w:t xml:space="preserve">– </w:t>
      </w:r>
      <w:r w:rsidR="005A5E31" w:rsidRPr="00D36847">
        <w:t xml:space="preserve">to enable women to be held near </w:t>
      </w:r>
      <w:r w:rsidR="004D0E1E">
        <w:t xml:space="preserve">areas </w:t>
      </w:r>
      <w:r w:rsidR="005A5E31" w:rsidRPr="00D36847">
        <w:t xml:space="preserve">where they are likely to live on release and to access a range of interventions.  </w:t>
      </w:r>
      <w:r w:rsidR="005A3E46">
        <w:t xml:space="preserve">  </w:t>
      </w:r>
      <w:r w:rsidR="00AE1651">
        <w:t xml:space="preserve">There are no women’s prisons in </w:t>
      </w:r>
      <w:r w:rsidR="00AE1651" w:rsidRPr="00EB29FB">
        <w:rPr>
          <w:b/>
        </w:rPr>
        <w:t>Wales</w:t>
      </w:r>
      <w:r w:rsidR="00AE1651">
        <w:t xml:space="preserve">, which has been reported to </w:t>
      </w:r>
      <w:r w:rsidR="004D0E1E">
        <w:t>cause</w:t>
      </w:r>
      <w:r w:rsidR="00AE1651">
        <w:t xml:space="preserve"> difficult</w:t>
      </w:r>
      <w:r w:rsidR="004D0E1E">
        <w:t>ies</w:t>
      </w:r>
      <w:r w:rsidR="00AE1651">
        <w:t xml:space="preserve"> for women to maintain contact with their family and resettle in their community after release</w:t>
      </w:r>
      <w:r w:rsidR="00AE1651" w:rsidRPr="009049E1">
        <w:rPr>
          <w:rStyle w:val="EndnoteReference"/>
        </w:rPr>
        <w:endnoteReference w:id="95"/>
      </w:r>
      <w:r w:rsidR="00AE1651">
        <w:t>.</w:t>
      </w:r>
    </w:p>
    <w:p w14:paraId="7FECA5D7" w14:textId="77777777" w:rsidR="00E0469F" w:rsidRPr="008A37EC" w:rsidRDefault="00E0469F" w:rsidP="00402D02">
      <w:pPr>
        <w:pStyle w:val="SGBodytext"/>
      </w:pPr>
      <w:bookmarkStart w:id="31" w:name="_Toc419291720"/>
      <w:r w:rsidRPr="008A37EC">
        <w:t xml:space="preserve">In the </w:t>
      </w:r>
      <w:r w:rsidRPr="008A37EC">
        <w:rPr>
          <w:b/>
        </w:rPr>
        <w:t>USA</w:t>
      </w:r>
      <w:r w:rsidRPr="008A37EC">
        <w:t xml:space="preserve"> there is no distinctive women’s prison estate</w:t>
      </w:r>
      <w:r w:rsidRPr="008A37EC">
        <w:rPr>
          <w:vertAlign w:val="superscript"/>
        </w:rPr>
        <w:endnoteReference w:id="96"/>
      </w:r>
      <w:r w:rsidRPr="008A37EC">
        <w:t xml:space="preserve">.  Indeed there are only four women-only prisons out of 108 federal facilities.   There are, however, </w:t>
      </w:r>
      <w:r>
        <w:t>examples</w:t>
      </w:r>
      <w:r w:rsidRPr="008A37EC">
        <w:t xml:space="preserve"> of good practice for specific groups.  For example, California has a specialist unit for older women (aged over 55) – the Senior Living Unit – where women receive age-appropriate programmes and privileges (such as unlimited phone access).  This is in response to a growing population of older female prisoners and evidence that older women prisoners are lower risk and have different needs than younger women</w:t>
      </w:r>
      <w:r w:rsidRPr="008A37EC">
        <w:rPr>
          <w:vertAlign w:val="superscript"/>
        </w:rPr>
        <w:endnoteReference w:id="97"/>
      </w:r>
      <w:r w:rsidRPr="008A37EC">
        <w:t xml:space="preserve">.  </w:t>
      </w:r>
    </w:p>
    <w:p w14:paraId="34A31EAB" w14:textId="77777777" w:rsidR="00CE44F9" w:rsidRDefault="00E0469F" w:rsidP="00402D02">
      <w:pPr>
        <w:pStyle w:val="SGBodytext"/>
      </w:pPr>
      <w:r w:rsidRPr="008A37EC">
        <w:t xml:space="preserve">In </w:t>
      </w:r>
      <w:r w:rsidRPr="008A37EC">
        <w:rPr>
          <w:b/>
        </w:rPr>
        <w:t>New Zealand</w:t>
      </w:r>
      <w:r w:rsidRPr="008A37EC">
        <w:t>, although the prison system for women is similar to that of men</w:t>
      </w:r>
      <w:r w:rsidRPr="008A37EC">
        <w:rPr>
          <w:vertAlign w:val="superscript"/>
        </w:rPr>
        <w:endnoteReference w:id="98"/>
      </w:r>
      <w:r w:rsidRPr="008A37EC">
        <w:t>, there are a number of self-care units in Auckland, Wellington and Christchurch. These are residential units for eligible women nearing their release.  In some cases women are able to live with their babies in these units</w:t>
      </w:r>
      <w:r w:rsidRPr="008A37EC">
        <w:rPr>
          <w:vertAlign w:val="superscript"/>
        </w:rPr>
        <w:endnoteReference w:id="99"/>
      </w:r>
      <w:r w:rsidRPr="008A37EC">
        <w:t>.</w:t>
      </w:r>
    </w:p>
    <w:p w14:paraId="70DC5FCF" w14:textId="77777777" w:rsidR="00D36847" w:rsidRDefault="00D36847" w:rsidP="00402D02">
      <w:pPr>
        <w:pStyle w:val="SGBodytext"/>
      </w:pPr>
    </w:p>
    <w:p w14:paraId="5154724C" w14:textId="77777777" w:rsidR="00CB38AD" w:rsidRDefault="00CB38AD">
      <w:pPr>
        <w:tabs>
          <w:tab w:val="clear" w:pos="720"/>
          <w:tab w:val="clear" w:pos="1440"/>
          <w:tab w:val="clear" w:pos="2160"/>
          <w:tab w:val="clear" w:pos="2880"/>
          <w:tab w:val="clear" w:pos="4680"/>
          <w:tab w:val="clear" w:pos="5400"/>
          <w:tab w:val="clear" w:pos="9000"/>
        </w:tabs>
        <w:spacing w:line="240" w:lineRule="auto"/>
        <w:rPr>
          <w:rFonts w:eastAsia="Times New Roman"/>
          <w:b/>
          <w:color w:val="064367"/>
          <w:sz w:val="44"/>
          <w:lang w:val="en-US"/>
        </w:rPr>
      </w:pPr>
      <w:r>
        <w:br w:type="page"/>
      </w:r>
    </w:p>
    <w:p w14:paraId="2FB1AF3E" w14:textId="77777777" w:rsidR="008A37EC" w:rsidRPr="00CC6A3D" w:rsidRDefault="008A37EC" w:rsidP="00CC6A3D">
      <w:pPr>
        <w:pStyle w:val="Heading1blue"/>
        <w:numPr>
          <w:ilvl w:val="0"/>
          <w:numId w:val="33"/>
        </w:numPr>
      </w:pPr>
      <w:bookmarkStart w:id="32" w:name="_Ref425945733"/>
      <w:bookmarkStart w:id="33" w:name="_Toc429555813"/>
      <w:r w:rsidRPr="00CC6A3D">
        <w:lastRenderedPageBreak/>
        <w:t>The Scandinavian Model</w:t>
      </w:r>
      <w:bookmarkEnd w:id="31"/>
      <w:bookmarkEnd w:id="32"/>
      <w:bookmarkEnd w:id="33"/>
    </w:p>
    <w:p w14:paraId="4E9CAB00" w14:textId="77777777" w:rsidR="008A37EC" w:rsidRPr="008A37EC" w:rsidRDefault="008A37EC" w:rsidP="00402D02">
      <w:pPr>
        <w:pStyle w:val="SGBodytext"/>
      </w:pPr>
    </w:p>
    <w:p w14:paraId="6B58F1CB" w14:textId="77777777" w:rsidR="008A37EC" w:rsidRPr="008A37EC" w:rsidRDefault="008A37EC" w:rsidP="00402D02">
      <w:pPr>
        <w:pStyle w:val="SGBodytext"/>
      </w:pPr>
      <w:r w:rsidRPr="008A37EC">
        <w:t xml:space="preserve">Countries with low prison populations, typically Scandinavian countries (Sweden, Norway, Denmark and Finland), take a </w:t>
      </w:r>
      <w:r w:rsidRPr="00EB29FB">
        <w:rPr>
          <w:b/>
        </w:rPr>
        <w:t>non-punitive approach</w:t>
      </w:r>
      <w:r w:rsidRPr="008A37EC">
        <w:t xml:space="preserve"> which recognises prisoners as citizens with rights and considers prison (or restriction of liberty) as sufficient punishment in itself.  In all other respects, prisons are expected to resemble normal life as far as possible. This concept of  </w:t>
      </w:r>
      <w:r w:rsidRPr="008A37EC">
        <w:rPr>
          <w:b/>
        </w:rPr>
        <w:t>normalisation</w:t>
      </w:r>
      <w:r w:rsidRPr="008A37EC">
        <w:t xml:space="preserve"> is central to </w:t>
      </w:r>
      <w:r w:rsidRPr="00EB29FB">
        <w:t>Scandinavian penal policy and in some countries, such as Denmark and Sweden, is enshrined in law</w:t>
      </w:r>
      <w:r w:rsidRPr="00EB29FB">
        <w:rPr>
          <w:vertAlign w:val="superscript"/>
        </w:rPr>
        <w:endnoteReference w:id="100"/>
      </w:r>
      <w:r w:rsidRPr="00EB29FB">
        <w:t>.</w:t>
      </w:r>
      <w:r w:rsidR="00064AB8" w:rsidRPr="00EB29FB">
        <w:t xml:space="preserve">  </w:t>
      </w:r>
      <w:r w:rsidR="004D0E1E" w:rsidRPr="00EB29FB">
        <w:t>In addition to lower female prison prison populations</w:t>
      </w:r>
      <w:r w:rsidR="00A00E3E">
        <w:t xml:space="preserve"> (see </w:t>
      </w:r>
      <w:r w:rsidR="00C03604" w:rsidRPr="000E57F5">
        <w:rPr>
          <w:i/>
        </w:rPr>
        <w:t>An international perspective</w:t>
      </w:r>
      <w:r w:rsidR="00C03604">
        <w:t xml:space="preserve"> in Chapter</w:t>
      </w:r>
      <w:r w:rsidR="00A00E3E">
        <w:t xml:space="preserve"> 4)</w:t>
      </w:r>
      <w:r w:rsidR="004D0E1E" w:rsidRPr="00EB29FB">
        <w:t>, re</w:t>
      </w:r>
      <w:r w:rsidR="00064AB8" w:rsidRPr="00EB29FB">
        <w:t xml:space="preserve">cidivism rates are also </w:t>
      </w:r>
      <w:r w:rsidR="004D0E1E" w:rsidRPr="00EB29FB">
        <w:t xml:space="preserve">reported to be </w:t>
      </w:r>
      <w:r w:rsidR="00064AB8" w:rsidRPr="00EB29FB">
        <w:t xml:space="preserve">lower in Scandinavian countries.  </w:t>
      </w:r>
      <w:r w:rsidR="007D5CCA">
        <w:t xml:space="preserve">As seen in the previous chapter, </w:t>
      </w:r>
      <w:r w:rsidR="00EE636D">
        <w:t>S</w:t>
      </w:r>
      <w:r w:rsidRPr="008A37EC">
        <w:t>candinavian countries</w:t>
      </w:r>
      <w:r w:rsidRPr="008A37EC">
        <w:rPr>
          <w:vertAlign w:val="superscript"/>
        </w:rPr>
        <w:footnoteReference w:id="16"/>
      </w:r>
      <w:r w:rsidRPr="008A37EC">
        <w:t xml:space="preserve"> tend to have </w:t>
      </w:r>
      <w:r w:rsidRPr="008A37EC">
        <w:rPr>
          <w:b/>
        </w:rPr>
        <w:t>large numbers of small prisons</w:t>
      </w:r>
      <w:r w:rsidRPr="008A37EC">
        <w:t>.  Their prison estate comprises of a network of closed and open prisons</w:t>
      </w:r>
      <w:r w:rsidR="00EE636D">
        <w:t>,</w:t>
      </w:r>
      <w:r w:rsidRPr="008A37EC">
        <w:t xml:space="preserve"> with the latter holding 20-30% of the total prison population.  Most prisoners will serve a significant proportion of their sentence in a closed prison, but will move to open prisons either as a result of good behaviour and/or to prepare for release.  The rate of breach</w:t>
      </w:r>
      <w:r w:rsidR="00C03604">
        <w:t xml:space="preserve"> (including men)</w:t>
      </w:r>
      <w:r w:rsidRPr="008A37EC">
        <w:t xml:space="preserve"> in open prisons is between 15-20%; in these instances the prisoner is recalled to a closed institution</w:t>
      </w:r>
      <w:r w:rsidRPr="008A37EC">
        <w:rPr>
          <w:vertAlign w:val="superscript"/>
        </w:rPr>
        <w:endnoteReference w:id="101"/>
      </w:r>
      <w:r w:rsidRPr="008A37EC">
        <w:t>.  Routine drug testing occurs in both types of prisons. Convicted (male and female) offenders can request an unconditional prison sentence to be deferred for several months (e.g. for family, work or health reasons); about 20% of requests are successful</w:t>
      </w:r>
      <w:r w:rsidRPr="008A37EC">
        <w:rPr>
          <w:vertAlign w:val="superscript"/>
        </w:rPr>
        <w:endnoteReference w:id="102"/>
      </w:r>
      <w:r w:rsidRPr="008A37EC">
        <w:t>.</w:t>
      </w:r>
    </w:p>
    <w:p w14:paraId="4E40EDEF" w14:textId="77777777" w:rsidR="008A37EC" w:rsidRPr="008A37EC" w:rsidRDefault="008A37EC" w:rsidP="00402D02">
      <w:pPr>
        <w:pStyle w:val="SGBodytext"/>
      </w:pPr>
      <w:r w:rsidRPr="008A37EC">
        <w:t xml:space="preserve">From the outside </w:t>
      </w:r>
      <w:r w:rsidRPr="008A37EC">
        <w:rPr>
          <w:b/>
        </w:rPr>
        <w:t>closed prisons</w:t>
      </w:r>
      <w:r w:rsidRPr="008A37EC">
        <w:t xml:space="preserve"> look similar to prisons in other jurisdictions.  However, inside they differ considerably from traditional models</w:t>
      </w:r>
      <w:r w:rsidRPr="008A37EC">
        <w:rPr>
          <w:vertAlign w:val="superscript"/>
        </w:rPr>
        <w:endnoteReference w:id="103"/>
      </w:r>
      <w:r w:rsidRPr="008A37EC">
        <w:t>:</w:t>
      </w:r>
    </w:p>
    <w:p w14:paraId="2BF4C6F6" w14:textId="77777777" w:rsidR="008A37EC" w:rsidRPr="000E57F5" w:rsidRDefault="008A37EC" w:rsidP="006F0C6A">
      <w:pPr>
        <w:pStyle w:val="SGBullet"/>
        <w:rPr>
          <w:sz w:val="24"/>
          <w:szCs w:val="24"/>
          <w:lang w:eastAsia="en-GB"/>
        </w:rPr>
      </w:pPr>
      <w:r w:rsidRPr="000E57F5">
        <w:rPr>
          <w:sz w:val="24"/>
          <w:szCs w:val="24"/>
          <w:lang w:eastAsia="en-GB"/>
        </w:rPr>
        <w:t>Prisoners have their own cells, often with a television</w:t>
      </w:r>
    </w:p>
    <w:p w14:paraId="68819CBD" w14:textId="77777777" w:rsidR="008A37EC" w:rsidRPr="000E57F5" w:rsidRDefault="008A37EC" w:rsidP="006F0C6A">
      <w:pPr>
        <w:pStyle w:val="SGBullet"/>
        <w:rPr>
          <w:sz w:val="24"/>
          <w:szCs w:val="24"/>
          <w:lang w:eastAsia="en-GB"/>
        </w:rPr>
      </w:pPr>
      <w:r w:rsidRPr="000E57F5">
        <w:rPr>
          <w:sz w:val="24"/>
          <w:szCs w:val="24"/>
          <w:lang w:eastAsia="en-GB"/>
        </w:rPr>
        <w:t>Movement within prisons is relatively relaxed (although it may be underground in high security prisons)</w:t>
      </w:r>
    </w:p>
    <w:p w14:paraId="4F66E28A" w14:textId="77777777" w:rsidR="008A37EC" w:rsidRPr="000E57F5" w:rsidRDefault="008A37EC" w:rsidP="006F0C6A">
      <w:pPr>
        <w:pStyle w:val="SGBullet"/>
        <w:rPr>
          <w:sz w:val="24"/>
          <w:szCs w:val="24"/>
          <w:lang w:eastAsia="en-GB"/>
        </w:rPr>
      </w:pPr>
      <w:r w:rsidRPr="000E57F5">
        <w:rPr>
          <w:sz w:val="24"/>
          <w:szCs w:val="24"/>
          <w:lang w:eastAsia="en-GB"/>
        </w:rPr>
        <w:t>Most prisoners work or participate in full-time education programmes</w:t>
      </w:r>
    </w:p>
    <w:p w14:paraId="390DA6D8" w14:textId="77777777" w:rsidR="008A37EC" w:rsidRPr="000E57F5" w:rsidRDefault="008A37EC" w:rsidP="006F0C6A">
      <w:pPr>
        <w:pStyle w:val="SGBullet"/>
        <w:rPr>
          <w:sz w:val="24"/>
          <w:szCs w:val="24"/>
          <w:lang w:eastAsia="en-GB"/>
        </w:rPr>
      </w:pPr>
      <w:r w:rsidRPr="000E57F5">
        <w:rPr>
          <w:sz w:val="24"/>
          <w:szCs w:val="24"/>
          <w:lang w:eastAsia="en-GB"/>
        </w:rPr>
        <w:t>There are communal areas with cooking facilities and televisions</w:t>
      </w:r>
    </w:p>
    <w:p w14:paraId="5BC676B9" w14:textId="77777777" w:rsidR="008A37EC" w:rsidRPr="000E57F5" w:rsidRDefault="008A37EC" w:rsidP="006F0C6A">
      <w:pPr>
        <w:pStyle w:val="SGBullet"/>
        <w:rPr>
          <w:sz w:val="24"/>
          <w:szCs w:val="24"/>
          <w:lang w:eastAsia="en-GB"/>
        </w:rPr>
      </w:pPr>
      <w:r w:rsidRPr="000E57F5">
        <w:rPr>
          <w:sz w:val="24"/>
          <w:szCs w:val="24"/>
          <w:lang w:eastAsia="en-GB"/>
        </w:rPr>
        <w:t>In lower-security prisons, prisoners can shop for food at local shops</w:t>
      </w:r>
    </w:p>
    <w:p w14:paraId="67C57145" w14:textId="77777777" w:rsidR="008A37EC" w:rsidRPr="000E57F5" w:rsidRDefault="008A37EC" w:rsidP="006F0C6A">
      <w:pPr>
        <w:pStyle w:val="SGBullet"/>
        <w:rPr>
          <w:sz w:val="24"/>
          <w:szCs w:val="24"/>
          <w:lang w:eastAsia="en-GB"/>
        </w:rPr>
      </w:pPr>
      <w:r w:rsidRPr="000E57F5">
        <w:rPr>
          <w:sz w:val="24"/>
          <w:szCs w:val="24"/>
          <w:lang w:eastAsia="en-GB"/>
        </w:rPr>
        <w:t>Prisoners wear their own clothes (as do prison officers)</w:t>
      </w:r>
    </w:p>
    <w:p w14:paraId="1C974AA5" w14:textId="77777777" w:rsidR="008A37EC" w:rsidRPr="000E57F5" w:rsidRDefault="008A37EC" w:rsidP="006F0C6A">
      <w:pPr>
        <w:pStyle w:val="SGBullet"/>
        <w:rPr>
          <w:sz w:val="24"/>
          <w:szCs w:val="24"/>
          <w:lang w:eastAsia="en-GB"/>
        </w:rPr>
      </w:pPr>
      <w:r w:rsidRPr="000E57F5">
        <w:rPr>
          <w:sz w:val="24"/>
          <w:szCs w:val="24"/>
          <w:lang w:eastAsia="en-GB"/>
        </w:rPr>
        <w:t>Most prisons (high security especially) provide accommodation for partners and children to stay at weekends (usually monthly) on an unsupervised basis, and conjugal rights are facilitated.</w:t>
      </w:r>
    </w:p>
    <w:p w14:paraId="731768F7" w14:textId="77777777" w:rsidR="008A37EC" w:rsidRPr="008A37EC" w:rsidRDefault="008A37EC" w:rsidP="00402D02">
      <w:pPr>
        <w:pStyle w:val="SGBodytext"/>
      </w:pPr>
      <w:r w:rsidRPr="008A37EC">
        <w:rPr>
          <w:b/>
        </w:rPr>
        <w:t>Open prisons</w:t>
      </w:r>
      <w:r w:rsidRPr="008A37EC">
        <w:t>, in existence since 1945, tend to have the following features</w:t>
      </w:r>
      <w:r w:rsidRPr="008A37EC">
        <w:rPr>
          <w:vertAlign w:val="superscript"/>
        </w:rPr>
        <w:endnoteReference w:id="104"/>
      </w:r>
      <w:r w:rsidRPr="008A37EC">
        <w:t>:</w:t>
      </w:r>
    </w:p>
    <w:p w14:paraId="6422C171" w14:textId="77777777" w:rsidR="008A37EC" w:rsidRPr="000E57F5" w:rsidRDefault="008A37EC" w:rsidP="006F0C6A">
      <w:pPr>
        <w:pStyle w:val="SGBullet"/>
        <w:rPr>
          <w:sz w:val="24"/>
          <w:szCs w:val="24"/>
          <w:lang w:eastAsia="en-GB"/>
        </w:rPr>
      </w:pPr>
      <w:r w:rsidRPr="000E57F5">
        <w:rPr>
          <w:sz w:val="24"/>
          <w:szCs w:val="24"/>
          <w:lang w:eastAsia="en-GB"/>
        </w:rPr>
        <w:t>In some cases, there are no obvious barriers or walls around the prison -  there are no bars on windows</w:t>
      </w:r>
    </w:p>
    <w:p w14:paraId="2463F3AE" w14:textId="77777777" w:rsidR="008A37EC" w:rsidRPr="000E57F5" w:rsidRDefault="008A37EC" w:rsidP="006F0C6A">
      <w:pPr>
        <w:pStyle w:val="SGBullet"/>
        <w:rPr>
          <w:sz w:val="24"/>
          <w:szCs w:val="24"/>
          <w:lang w:eastAsia="en-GB"/>
        </w:rPr>
      </w:pPr>
      <w:r w:rsidRPr="000E57F5">
        <w:rPr>
          <w:sz w:val="24"/>
          <w:szCs w:val="24"/>
          <w:lang w:eastAsia="en-GB"/>
        </w:rPr>
        <w:t>Prisoners can move freely around the prison grounds and sometimes in the local community</w:t>
      </w:r>
    </w:p>
    <w:p w14:paraId="298815B5" w14:textId="77777777" w:rsidR="008A37EC" w:rsidRPr="000E57F5" w:rsidRDefault="008A37EC" w:rsidP="006F0C6A">
      <w:pPr>
        <w:pStyle w:val="SGBullet"/>
        <w:rPr>
          <w:sz w:val="24"/>
          <w:szCs w:val="24"/>
          <w:lang w:eastAsia="en-GB"/>
        </w:rPr>
      </w:pPr>
      <w:r w:rsidRPr="000E57F5">
        <w:rPr>
          <w:sz w:val="24"/>
          <w:szCs w:val="24"/>
          <w:lang w:eastAsia="en-GB"/>
        </w:rPr>
        <w:t>Many of those serving short sentences are allowed to continue with their previous employment (e.g. driving to</w:t>
      </w:r>
      <w:r w:rsidR="00735D3D" w:rsidRPr="000E57F5">
        <w:rPr>
          <w:sz w:val="24"/>
          <w:szCs w:val="24"/>
          <w:lang w:eastAsia="en-GB"/>
        </w:rPr>
        <w:t>/from</w:t>
      </w:r>
      <w:r w:rsidRPr="000E57F5">
        <w:rPr>
          <w:sz w:val="24"/>
          <w:szCs w:val="24"/>
          <w:lang w:eastAsia="en-GB"/>
        </w:rPr>
        <w:t xml:space="preserve"> work from the prison)</w:t>
      </w:r>
    </w:p>
    <w:p w14:paraId="64B57CC5" w14:textId="77777777" w:rsidR="008A37EC" w:rsidRPr="000E57F5" w:rsidRDefault="008A37EC" w:rsidP="006F0C6A">
      <w:pPr>
        <w:pStyle w:val="SGBullet"/>
        <w:rPr>
          <w:sz w:val="24"/>
          <w:szCs w:val="24"/>
          <w:lang w:eastAsia="en-GB"/>
        </w:rPr>
      </w:pPr>
      <w:r w:rsidRPr="000E57F5">
        <w:rPr>
          <w:sz w:val="24"/>
          <w:szCs w:val="24"/>
          <w:lang w:eastAsia="en-GB"/>
        </w:rPr>
        <w:lastRenderedPageBreak/>
        <w:t>In Finland prisoners receive a working wage; in Norway and Sweden they receive an allowance</w:t>
      </w:r>
      <w:r w:rsidR="00C03604" w:rsidRPr="000E57F5">
        <w:rPr>
          <w:sz w:val="24"/>
          <w:szCs w:val="24"/>
          <w:lang w:eastAsia="en-GB"/>
        </w:rPr>
        <w:t>.</w:t>
      </w:r>
      <w:r w:rsidRPr="000E57F5">
        <w:rPr>
          <w:sz w:val="24"/>
          <w:szCs w:val="24"/>
          <w:lang w:eastAsia="en-GB"/>
        </w:rPr>
        <w:t xml:space="preserve"> </w:t>
      </w:r>
    </w:p>
    <w:p w14:paraId="21807E5D" w14:textId="77777777" w:rsidR="008A37EC" w:rsidRPr="008A37EC" w:rsidRDefault="008A37EC" w:rsidP="00402D02">
      <w:pPr>
        <w:pStyle w:val="SGBodytext"/>
      </w:pPr>
      <w:r w:rsidRPr="008A37EC">
        <w:t>Countries with a low and decreasing and/or stable female prison population (the “common Nordic level”) tend to share the following features in common:</w:t>
      </w:r>
    </w:p>
    <w:p w14:paraId="597C85BB" w14:textId="77777777" w:rsidR="008A37EC" w:rsidRPr="000E57F5" w:rsidRDefault="008A37EC" w:rsidP="006F0C6A">
      <w:pPr>
        <w:pStyle w:val="SGBullet"/>
        <w:rPr>
          <w:sz w:val="24"/>
          <w:szCs w:val="24"/>
          <w:lang w:eastAsia="en-GB"/>
        </w:rPr>
      </w:pPr>
      <w:r w:rsidRPr="000E57F5">
        <w:rPr>
          <w:b/>
          <w:sz w:val="24"/>
          <w:szCs w:val="24"/>
          <w:lang w:eastAsia="en-GB"/>
        </w:rPr>
        <w:t>Strong welfare state</w:t>
      </w:r>
      <w:r w:rsidRPr="000E57F5">
        <w:rPr>
          <w:sz w:val="24"/>
          <w:szCs w:val="24"/>
          <w:lang w:eastAsia="en-GB"/>
        </w:rPr>
        <w:t xml:space="preserve"> with significant autonomy and independence from political structures</w:t>
      </w:r>
    </w:p>
    <w:p w14:paraId="19234FDF" w14:textId="77777777" w:rsidR="008A37EC" w:rsidRPr="000E57F5" w:rsidRDefault="008A37EC" w:rsidP="006F0C6A">
      <w:pPr>
        <w:pStyle w:val="SGBullet"/>
        <w:rPr>
          <w:sz w:val="24"/>
          <w:szCs w:val="24"/>
          <w:lang w:eastAsia="en-GB"/>
        </w:rPr>
      </w:pPr>
      <w:r w:rsidRPr="000E57F5">
        <w:rPr>
          <w:b/>
          <w:sz w:val="24"/>
          <w:szCs w:val="24"/>
          <w:lang w:eastAsia="en-GB"/>
        </w:rPr>
        <w:t>Egalitarian</w:t>
      </w:r>
      <w:r w:rsidRPr="000E57F5">
        <w:rPr>
          <w:sz w:val="24"/>
          <w:szCs w:val="24"/>
          <w:lang w:eastAsia="en-GB"/>
        </w:rPr>
        <w:t xml:space="preserve"> rather than hierarchical society with little class distinction and high levels of compliance with social norms</w:t>
      </w:r>
    </w:p>
    <w:p w14:paraId="7ABBD7EE" w14:textId="77777777" w:rsidR="008A37EC" w:rsidRPr="000E57F5" w:rsidRDefault="008A37EC" w:rsidP="006F0C6A">
      <w:pPr>
        <w:pStyle w:val="SGBullet"/>
        <w:rPr>
          <w:sz w:val="24"/>
          <w:szCs w:val="24"/>
          <w:lang w:eastAsia="en-GB"/>
        </w:rPr>
      </w:pPr>
      <w:r w:rsidRPr="000E57F5">
        <w:rPr>
          <w:sz w:val="24"/>
          <w:szCs w:val="24"/>
          <w:lang w:eastAsia="en-GB"/>
        </w:rPr>
        <w:t xml:space="preserve">Penal policy is </w:t>
      </w:r>
      <w:r w:rsidRPr="000E57F5">
        <w:rPr>
          <w:b/>
          <w:sz w:val="24"/>
          <w:szCs w:val="24"/>
          <w:lang w:eastAsia="en-GB"/>
        </w:rPr>
        <w:t>expert-driven</w:t>
      </w:r>
      <w:r w:rsidRPr="000E57F5">
        <w:rPr>
          <w:sz w:val="24"/>
          <w:szCs w:val="24"/>
          <w:lang w:eastAsia="en-GB"/>
        </w:rPr>
        <w:t xml:space="preserve"> and research-led rather than politically-led</w:t>
      </w:r>
      <w:r w:rsidRPr="000E57F5">
        <w:rPr>
          <w:sz w:val="24"/>
          <w:szCs w:val="24"/>
          <w:vertAlign w:val="superscript"/>
          <w:lang w:eastAsia="en-GB"/>
        </w:rPr>
        <w:endnoteReference w:id="105"/>
      </w:r>
    </w:p>
    <w:p w14:paraId="1357AEF7" w14:textId="77777777" w:rsidR="008A37EC" w:rsidRPr="000E57F5" w:rsidRDefault="008A37EC" w:rsidP="006F0C6A">
      <w:pPr>
        <w:pStyle w:val="SGBullet"/>
        <w:rPr>
          <w:sz w:val="24"/>
          <w:szCs w:val="24"/>
          <w:lang w:eastAsia="en-GB"/>
        </w:rPr>
      </w:pPr>
      <w:r w:rsidRPr="000E57F5">
        <w:rPr>
          <w:b/>
          <w:sz w:val="24"/>
          <w:szCs w:val="24"/>
          <w:lang w:eastAsia="en-GB"/>
        </w:rPr>
        <w:t>Non-punitive</w:t>
      </w:r>
      <w:r w:rsidRPr="000E57F5">
        <w:rPr>
          <w:sz w:val="24"/>
          <w:szCs w:val="24"/>
          <w:lang w:eastAsia="en-GB"/>
        </w:rPr>
        <w:t>, welfare approach to offending in which community alternatives and rehabilitation are prioritised</w:t>
      </w:r>
    </w:p>
    <w:p w14:paraId="25DFE39E" w14:textId="77777777" w:rsidR="008A37EC" w:rsidRPr="000E57F5" w:rsidRDefault="008A37EC" w:rsidP="006F0C6A">
      <w:pPr>
        <w:pStyle w:val="SGBullet"/>
        <w:rPr>
          <w:sz w:val="24"/>
          <w:szCs w:val="24"/>
          <w:lang w:eastAsia="en-GB"/>
        </w:rPr>
      </w:pPr>
      <w:r w:rsidRPr="000E57F5">
        <w:rPr>
          <w:sz w:val="24"/>
          <w:szCs w:val="24"/>
          <w:lang w:eastAsia="en-GB"/>
        </w:rPr>
        <w:t xml:space="preserve">Rehabilitation is based on an ‘import model’ with </w:t>
      </w:r>
      <w:r w:rsidRPr="000E57F5">
        <w:rPr>
          <w:b/>
          <w:sz w:val="24"/>
          <w:szCs w:val="24"/>
          <w:lang w:eastAsia="en-GB"/>
        </w:rPr>
        <w:t>universal services coming into prisons</w:t>
      </w:r>
      <w:r w:rsidRPr="000E57F5">
        <w:rPr>
          <w:sz w:val="24"/>
          <w:szCs w:val="24"/>
          <w:lang w:eastAsia="en-GB"/>
        </w:rPr>
        <w:t xml:space="preserve"> to deliver services</w:t>
      </w:r>
    </w:p>
    <w:p w14:paraId="192BEC7B" w14:textId="77777777" w:rsidR="008A37EC" w:rsidRPr="000E57F5" w:rsidRDefault="008A37EC" w:rsidP="006F0C6A">
      <w:pPr>
        <w:pStyle w:val="SGBullet"/>
        <w:rPr>
          <w:sz w:val="24"/>
          <w:szCs w:val="24"/>
          <w:lang w:eastAsia="en-GB"/>
        </w:rPr>
      </w:pPr>
      <w:r w:rsidRPr="000E57F5">
        <w:rPr>
          <w:sz w:val="24"/>
          <w:szCs w:val="24"/>
          <w:lang w:eastAsia="en-GB"/>
        </w:rPr>
        <w:t>Prisoners undertake purposeful activities during the day (e.g. work, education)</w:t>
      </w:r>
      <w:r w:rsidRPr="000E57F5">
        <w:rPr>
          <w:sz w:val="24"/>
          <w:szCs w:val="24"/>
        </w:rPr>
        <w:t xml:space="preserve"> </w:t>
      </w:r>
    </w:p>
    <w:p w14:paraId="451BFA7B" w14:textId="77777777" w:rsidR="008A37EC" w:rsidRPr="000E57F5" w:rsidRDefault="008A37EC" w:rsidP="006F0C6A">
      <w:pPr>
        <w:pStyle w:val="SGBullet"/>
        <w:rPr>
          <w:sz w:val="24"/>
          <w:szCs w:val="24"/>
          <w:lang w:eastAsia="en-GB"/>
        </w:rPr>
      </w:pPr>
      <w:r w:rsidRPr="000E57F5">
        <w:rPr>
          <w:b/>
          <w:sz w:val="24"/>
          <w:szCs w:val="24"/>
          <w:lang w:eastAsia="en-GB"/>
        </w:rPr>
        <w:t>Heavy use of community supervision</w:t>
      </w:r>
      <w:r w:rsidRPr="000E57F5">
        <w:rPr>
          <w:sz w:val="24"/>
          <w:szCs w:val="24"/>
          <w:lang w:eastAsia="en-GB"/>
        </w:rPr>
        <w:t>, conditional imprisonment (e.g. in Finland)</w:t>
      </w:r>
      <w:r w:rsidRPr="000E57F5">
        <w:rPr>
          <w:sz w:val="24"/>
          <w:szCs w:val="24"/>
          <w:vertAlign w:val="superscript"/>
          <w:lang w:eastAsia="en-GB"/>
        </w:rPr>
        <w:endnoteReference w:id="106"/>
      </w:r>
      <w:r w:rsidRPr="000E57F5">
        <w:rPr>
          <w:sz w:val="24"/>
          <w:szCs w:val="24"/>
          <w:lang w:eastAsia="en-GB"/>
        </w:rPr>
        <w:t xml:space="preserve"> and open prisons </w:t>
      </w:r>
    </w:p>
    <w:p w14:paraId="5D652BAE" w14:textId="77777777" w:rsidR="008A37EC" w:rsidRPr="000E57F5" w:rsidRDefault="008A37EC" w:rsidP="006F0C6A">
      <w:pPr>
        <w:pStyle w:val="SGBullet"/>
        <w:rPr>
          <w:sz w:val="24"/>
          <w:szCs w:val="24"/>
          <w:lang w:eastAsia="en-GB"/>
        </w:rPr>
      </w:pPr>
      <w:r w:rsidRPr="000E57F5">
        <w:rPr>
          <w:b/>
          <w:sz w:val="24"/>
          <w:szCs w:val="24"/>
        </w:rPr>
        <w:t>Prison work is a desirable profession</w:t>
      </w:r>
      <w:r w:rsidRPr="000E57F5">
        <w:rPr>
          <w:sz w:val="24"/>
          <w:szCs w:val="24"/>
        </w:rPr>
        <w:t xml:space="preserve">, requiring </w:t>
      </w:r>
      <w:r w:rsidR="00AD32B5" w:rsidRPr="000E57F5">
        <w:rPr>
          <w:sz w:val="24"/>
          <w:szCs w:val="24"/>
        </w:rPr>
        <w:t>two-three</w:t>
      </w:r>
      <w:r w:rsidRPr="000E57F5">
        <w:rPr>
          <w:sz w:val="24"/>
          <w:szCs w:val="24"/>
        </w:rPr>
        <w:t xml:space="preserve"> years training</w:t>
      </w:r>
      <w:r w:rsidRPr="000E57F5">
        <w:rPr>
          <w:sz w:val="24"/>
          <w:szCs w:val="24"/>
          <w:vertAlign w:val="superscript"/>
        </w:rPr>
        <w:endnoteReference w:id="107"/>
      </w:r>
      <w:r w:rsidRPr="000E57F5">
        <w:rPr>
          <w:sz w:val="24"/>
          <w:szCs w:val="24"/>
        </w:rPr>
        <w:t xml:space="preserve"> (compared with 8 weeks in Scotland</w:t>
      </w:r>
      <w:r w:rsidRPr="000E57F5">
        <w:rPr>
          <w:sz w:val="24"/>
          <w:szCs w:val="24"/>
          <w:vertAlign w:val="superscript"/>
        </w:rPr>
        <w:footnoteReference w:id="17"/>
      </w:r>
      <w:r w:rsidRPr="000E57F5">
        <w:rPr>
          <w:sz w:val="24"/>
          <w:szCs w:val="24"/>
        </w:rPr>
        <w:t>).  Staff attitudes towards prisoners are consistent with the ethos of normalisation</w:t>
      </w:r>
    </w:p>
    <w:p w14:paraId="0D499ABD" w14:textId="77777777" w:rsidR="008A37EC" w:rsidRPr="000E57F5" w:rsidRDefault="008A37EC" w:rsidP="006F0C6A">
      <w:pPr>
        <w:pStyle w:val="SGBullet"/>
        <w:rPr>
          <w:sz w:val="24"/>
          <w:szCs w:val="24"/>
          <w:lang w:eastAsia="en-GB"/>
        </w:rPr>
      </w:pPr>
      <w:r w:rsidRPr="000E57F5">
        <w:rPr>
          <w:sz w:val="24"/>
          <w:szCs w:val="24"/>
          <w:lang w:eastAsia="en-GB"/>
        </w:rPr>
        <w:t xml:space="preserve">Dedicated </w:t>
      </w:r>
      <w:r w:rsidR="00BA0C99" w:rsidRPr="000E57F5">
        <w:rPr>
          <w:sz w:val="24"/>
          <w:szCs w:val="24"/>
          <w:lang w:eastAsia="en-GB"/>
        </w:rPr>
        <w:t xml:space="preserve">(small) </w:t>
      </w:r>
      <w:r w:rsidRPr="000E57F5">
        <w:rPr>
          <w:sz w:val="24"/>
          <w:szCs w:val="24"/>
          <w:lang w:eastAsia="en-GB"/>
        </w:rPr>
        <w:t xml:space="preserve">facilities for women </w:t>
      </w:r>
    </w:p>
    <w:p w14:paraId="5BC2070C" w14:textId="77777777" w:rsidR="008A37EC" w:rsidRPr="000E57F5" w:rsidRDefault="008A37EC" w:rsidP="006F0C6A">
      <w:pPr>
        <w:pStyle w:val="SGBullet"/>
        <w:rPr>
          <w:sz w:val="24"/>
          <w:szCs w:val="24"/>
          <w:lang w:eastAsia="en-GB"/>
        </w:rPr>
      </w:pPr>
      <w:r w:rsidRPr="000E57F5">
        <w:rPr>
          <w:sz w:val="24"/>
          <w:szCs w:val="24"/>
          <w:lang w:eastAsia="en-GB"/>
        </w:rPr>
        <w:t xml:space="preserve">Emphasis placed on </w:t>
      </w:r>
      <w:r w:rsidRPr="000E57F5">
        <w:rPr>
          <w:b/>
          <w:sz w:val="24"/>
          <w:szCs w:val="24"/>
          <w:lang w:eastAsia="en-GB"/>
        </w:rPr>
        <w:t>maintaining a mother’s contact with her children,</w:t>
      </w:r>
      <w:r w:rsidRPr="000E57F5">
        <w:rPr>
          <w:sz w:val="24"/>
          <w:szCs w:val="24"/>
          <w:lang w:eastAsia="en-GB"/>
        </w:rPr>
        <w:t xml:space="preserve"> in some cases enabling her to reside with them whilst serving a custodial sentence</w:t>
      </w:r>
    </w:p>
    <w:p w14:paraId="3D952EA7" w14:textId="77777777" w:rsidR="008A37EC" w:rsidRPr="000E57F5" w:rsidRDefault="008A37EC" w:rsidP="006F0C6A">
      <w:pPr>
        <w:pStyle w:val="SGBullet"/>
        <w:rPr>
          <w:sz w:val="24"/>
          <w:szCs w:val="24"/>
          <w:lang w:eastAsia="en-GB"/>
        </w:rPr>
      </w:pPr>
      <w:r w:rsidRPr="000E57F5">
        <w:rPr>
          <w:sz w:val="24"/>
          <w:szCs w:val="24"/>
          <w:lang w:eastAsia="en-GB"/>
        </w:rPr>
        <w:t xml:space="preserve">Public support for a rehabilitative approach, </w:t>
      </w:r>
      <w:r w:rsidR="00AD32B5" w:rsidRPr="000E57F5">
        <w:rPr>
          <w:sz w:val="24"/>
          <w:szCs w:val="24"/>
          <w:lang w:eastAsia="en-GB"/>
        </w:rPr>
        <w:t>underpinned</w:t>
      </w:r>
      <w:r w:rsidRPr="000E57F5">
        <w:rPr>
          <w:sz w:val="24"/>
          <w:szCs w:val="24"/>
          <w:lang w:eastAsia="en-GB"/>
        </w:rPr>
        <w:t xml:space="preserve"> by the perception of prisoners are a “group of welfare clients rather than dangerous outsiders”</w:t>
      </w:r>
      <w:r w:rsidRPr="000E57F5">
        <w:rPr>
          <w:sz w:val="24"/>
          <w:szCs w:val="24"/>
          <w:vertAlign w:val="superscript"/>
          <w:lang w:eastAsia="en-GB"/>
        </w:rPr>
        <w:endnoteReference w:id="108"/>
      </w:r>
    </w:p>
    <w:p w14:paraId="1F2B8799" w14:textId="77777777" w:rsidR="008A37EC" w:rsidRPr="000E57F5" w:rsidRDefault="008A37EC" w:rsidP="006F0C6A">
      <w:pPr>
        <w:pStyle w:val="SGBullet"/>
        <w:rPr>
          <w:sz w:val="24"/>
          <w:szCs w:val="24"/>
        </w:rPr>
      </w:pPr>
      <w:r w:rsidRPr="000E57F5">
        <w:rPr>
          <w:b/>
          <w:sz w:val="24"/>
          <w:szCs w:val="24"/>
          <w:lang w:eastAsia="en-GB"/>
        </w:rPr>
        <w:t xml:space="preserve">Policy is not influenced by </w:t>
      </w:r>
      <w:proofErr w:type="spellStart"/>
      <w:r w:rsidRPr="000E57F5">
        <w:rPr>
          <w:b/>
          <w:sz w:val="24"/>
          <w:szCs w:val="24"/>
          <w:lang w:eastAsia="en-GB"/>
        </w:rPr>
        <w:t>sensationalisation</w:t>
      </w:r>
      <w:proofErr w:type="spellEnd"/>
      <w:r w:rsidRPr="000E57F5">
        <w:rPr>
          <w:b/>
          <w:sz w:val="24"/>
          <w:szCs w:val="24"/>
          <w:lang w:eastAsia="en-GB"/>
        </w:rPr>
        <w:t xml:space="preserve"> of crime or victimisation</w:t>
      </w:r>
      <w:r w:rsidRPr="000E57F5">
        <w:rPr>
          <w:sz w:val="24"/>
          <w:szCs w:val="24"/>
          <w:lang w:eastAsia="en-GB"/>
        </w:rPr>
        <w:t xml:space="preserve"> (in Scandinavian countries the victim is compensated by the State) unlike </w:t>
      </w:r>
      <w:r w:rsidR="00AD32B5" w:rsidRPr="000E57F5">
        <w:rPr>
          <w:sz w:val="24"/>
          <w:szCs w:val="24"/>
          <w:lang w:eastAsia="en-GB"/>
        </w:rPr>
        <w:t xml:space="preserve">in </w:t>
      </w:r>
      <w:r w:rsidRPr="000E57F5">
        <w:rPr>
          <w:sz w:val="24"/>
          <w:szCs w:val="24"/>
          <w:lang w:eastAsia="en-GB"/>
        </w:rPr>
        <w:t xml:space="preserve">countries such as the USA and UK, where there is increased emphasis on the  victims (e.g. restorative justice, family conferencing </w:t>
      </w:r>
      <w:r w:rsidRPr="000E57F5">
        <w:rPr>
          <w:sz w:val="24"/>
          <w:szCs w:val="24"/>
          <w:vertAlign w:val="superscript"/>
          <w:lang w:eastAsia="en-GB"/>
        </w:rPr>
        <w:endnoteReference w:id="109"/>
      </w:r>
      <w:r w:rsidRPr="000E57F5">
        <w:rPr>
          <w:sz w:val="24"/>
          <w:szCs w:val="24"/>
          <w:lang w:eastAsia="en-GB"/>
        </w:rPr>
        <w:t>) and an influential tabloid press.</w:t>
      </w:r>
    </w:p>
    <w:p w14:paraId="63FDC4A2" w14:textId="77777777" w:rsidR="008A37EC" w:rsidRPr="00130C1B" w:rsidRDefault="008A37EC" w:rsidP="00402D02">
      <w:pPr>
        <w:pStyle w:val="SGBodytext"/>
        <w:rPr>
          <w:b/>
        </w:rPr>
      </w:pPr>
      <w:r w:rsidRPr="008A37EC">
        <w:t xml:space="preserve">Whilst it is possible to identify the conditions that have </w:t>
      </w:r>
      <w:r w:rsidR="003103ED">
        <w:t xml:space="preserve">contributed </w:t>
      </w:r>
      <w:r w:rsidRPr="008A37EC">
        <w:t xml:space="preserve">to the Scandinavian penal system, there is no simple formula to its effectiveness (in terms of low prison populations and recidivism rates).  Rather it is the product of a long history of egalitarian, pro-welfare societies.  </w:t>
      </w:r>
      <w:r w:rsidRPr="00130C1B">
        <w:rPr>
          <w:b/>
        </w:rPr>
        <w:t xml:space="preserve">In this sense, </w:t>
      </w:r>
      <w:r w:rsidR="00A31D35">
        <w:rPr>
          <w:b/>
        </w:rPr>
        <w:t xml:space="preserve">one should not </w:t>
      </w:r>
      <w:r w:rsidRPr="00130C1B">
        <w:rPr>
          <w:b/>
        </w:rPr>
        <w:t>assume that this model could be easily transferred to a country like Scotland where the political structu</w:t>
      </w:r>
      <w:r w:rsidR="00130C1B">
        <w:rPr>
          <w:b/>
        </w:rPr>
        <w:t xml:space="preserve">re and social conditions are </w:t>
      </w:r>
      <w:r w:rsidRPr="00130C1B">
        <w:rPr>
          <w:b/>
        </w:rPr>
        <w:t xml:space="preserve">different.  </w:t>
      </w:r>
    </w:p>
    <w:p w14:paraId="196D62B4" w14:textId="77777777" w:rsidR="008A37EC" w:rsidRPr="008A37EC" w:rsidRDefault="008A37EC" w:rsidP="00402D02">
      <w:pPr>
        <w:pStyle w:val="SGBodytext"/>
      </w:pPr>
      <w:r w:rsidRPr="008A37EC">
        <w:t xml:space="preserve">However, there are important lessons </w:t>
      </w:r>
      <w:r w:rsidR="006604FE">
        <w:t xml:space="preserve">that </w:t>
      </w:r>
      <w:r w:rsidRPr="008A37EC">
        <w:t xml:space="preserve">can be learned from its approach, most notably the emphasis on </w:t>
      </w:r>
      <w:r w:rsidRPr="008A37EC">
        <w:rPr>
          <w:b/>
        </w:rPr>
        <w:t>community supervision</w:t>
      </w:r>
      <w:r w:rsidRPr="008A37EC">
        <w:t xml:space="preserve"> </w:t>
      </w:r>
      <w:r w:rsidRPr="008A37EC">
        <w:rPr>
          <w:b/>
        </w:rPr>
        <w:t>and open prisons</w:t>
      </w:r>
      <w:r w:rsidRPr="008A37EC">
        <w:t xml:space="preserve">, the  </w:t>
      </w:r>
      <w:r w:rsidRPr="008A37EC">
        <w:rPr>
          <w:b/>
        </w:rPr>
        <w:t>professionalisation of prison staff</w:t>
      </w:r>
      <w:r w:rsidRPr="008A37EC">
        <w:t xml:space="preserve"> and the </w:t>
      </w:r>
      <w:r w:rsidRPr="008A37EC">
        <w:rPr>
          <w:b/>
        </w:rPr>
        <w:t>principle of normality</w:t>
      </w:r>
      <w:r w:rsidRPr="008A37EC">
        <w:t xml:space="preserve">, which underpins Scandinavia’s humane approach to its prisoners and its prioritisation of reintegration </w:t>
      </w:r>
      <w:r w:rsidR="00735D3D">
        <w:t>(</w:t>
      </w:r>
      <w:r w:rsidRPr="008A37EC">
        <w:t>over retribution</w:t>
      </w:r>
      <w:r w:rsidR="00735D3D">
        <w:t>)</w:t>
      </w:r>
      <w:r w:rsidRPr="008A37EC">
        <w:t xml:space="preserve">.  </w:t>
      </w:r>
    </w:p>
    <w:p w14:paraId="147063CB" w14:textId="77777777" w:rsidR="008A37EC" w:rsidRPr="00EB29FB" w:rsidRDefault="008A37EC" w:rsidP="00402D02">
      <w:pPr>
        <w:pStyle w:val="SGBodytext"/>
      </w:pPr>
      <w:r w:rsidRPr="008A37EC">
        <w:lastRenderedPageBreak/>
        <w:t xml:space="preserve">The Scandinavian approach is not entirely without its critics, however.  For example, Norway’s refusal to compromise the ‘one man, one cell’ rule and/or expand the prison estate </w:t>
      </w:r>
      <w:r w:rsidR="002E438C">
        <w:t xml:space="preserve">has led, it is argued, to queues for prison places </w:t>
      </w:r>
      <w:r w:rsidR="008C7A34">
        <w:t xml:space="preserve">reaching </w:t>
      </w:r>
      <w:r w:rsidR="009679FF">
        <w:t>nearly</w:t>
      </w:r>
      <w:r w:rsidR="002E438C">
        <w:t xml:space="preserve"> 3000 </w:t>
      </w:r>
      <w:r w:rsidR="002E438C" w:rsidRPr="008A37EC">
        <w:t>in 2006</w:t>
      </w:r>
      <w:r w:rsidR="002E438C" w:rsidRPr="008A37EC">
        <w:rPr>
          <w:vertAlign w:val="superscript"/>
        </w:rPr>
        <w:endnoteReference w:id="110"/>
      </w:r>
      <w:r w:rsidR="002E438C">
        <w:t xml:space="preserve">.  More recent </w:t>
      </w:r>
      <w:r w:rsidR="00505F0A">
        <w:t xml:space="preserve">online </w:t>
      </w:r>
      <w:r w:rsidR="002E438C">
        <w:t xml:space="preserve">news reports </w:t>
      </w:r>
      <w:r w:rsidR="009679FF">
        <w:t xml:space="preserve">(2014) </w:t>
      </w:r>
      <w:r w:rsidR="002E438C">
        <w:t xml:space="preserve">have </w:t>
      </w:r>
      <w:r w:rsidR="009679FF">
        <w:t>reported a waiting list</w:t>
      </w:r>
      <w:r w:rsidR="0087327A">
        <w:t xml:space="preserve"> for prison places</w:t>
      </w:r>
      <w:r w:rsidR="009679FF">
        <w:t xml:space="preserve"> of nearly 1200</w:t>
      </w:r>
      <w:r w:rsidR="00505F0A">
        <w:rPr>
          <w:rStyle w:val="EndnoteReference"/>
        </w:rPr>
        <w:endnoteReference w:id="111"/>
      </w:r>
      <w:r w:rsidR="00505F0A">
        <w:t xml:space="preserve">.  </w:t>
      </w:r>
      <w:r w:rsidR="00505F0A" w:rsidRPr="008A37EC">
        <w:t>Norway has also been criticised for holding remand prisoners in isolation</w:t>
      </w:r>
      <w:r w:rsidR="00505F0A">
        <w:rPr>
          <w:rStyle w:val="EndnoteReference"/>
        </w:rPr>
        <w:endnoteReference w:id="112"/>
      </w:r>
      <w:r w:rsidR="00505F0A">
        <w:t xml:space="preserve"> (though more recently it has been reported that remand prisoners are being held with sentenced prisoners due to prison overcrowding</w:t>
      </w:r>
      <w:r w:rsidR="00505F0A">
        <w:rPr>
          <w:rStyle w:val="EndnoteReference"/>
        </w:rPr>
        <w:endnoteReference w:id="113"/>
      </w:r>
      <w:r w:rsidR="00505F0A">
        <w:t>)</w:t>
      </w:r>
      <w:r w:rsidRPr="008A37EC">
        <w:t xml:space="preserve">, and not allowing children to reside with their mothers in institutions.  The increasingly diverse prison population (due to the influx of immigrants) has also presented challenges </w:t>
      </w:r>
      <w:r w:rsidR="00735D3D">
        <w:t>for</w:t>
      </w:r>
      <w:r w:rsidRPr="008A37EC">
        <w:t xml:space="preserve"> Scandinav</w:t>
      </w:r>
      <w:r w:rsidR="00130C1B">
        <w:t>ian countries who before now have</w:t>
      </w:r>
      <w:r w:rsidRPr="008A37EC">
        <w:t xml:space="preserve"> dealt with a fairly homogenous </w:t>
      </w:r>
      <w:r w:rsidRPr="00EB29FB">
        <w:t>group.</w:t>
      </w:r>
      <w:r w:rsidR="00724133" w:rsidRPr="00EB29FB">
        <w:t xml:space="preserve">  Recent statistics (2013) suggest that there has been an increase in prison sentences in Norway, perhaps due to an increase in drug-related crime</w:t>
      </w:r>
      <w:r w:rsidR="00724133" w:rsidRPr="00EB29FB">
        <w:rPr>
          <w:rStyle w:val="EndnoteReference"/>
        </w:rPr>
        <w:endnoteReference w:id="114"/>
      </w:r>
      <w:r w:rsidR="00724133" w:rsidRPr="00EB29FB">
        <w:t>.</w:t>
      </w:r>
    </w:p>
    <w:p w14:paraId="36B11267" w14:textId="77777777" w:rsidR="008A37EC" w:rsidRPr="00EB29FB" w:rsidRDefault="008A37EC" w:rsidP="00402D02">
      <w:pPr>
        <w:pStyle w:val="SGBodytext"/>
      </w:pPr>
    </w:p>
    <w:p w14:paraId="421BC0FA" w14:textId="77777777" w:rsidR="008A37EC" w:rsidRPr="008A37EC" w:rsidRDefault="008A37EC" w:rsidP="00402D02">
      <w:pPr>
        <w:pStyle w:val="SGBodytext"/>
      </w:pPr>
    </w:p>
    <w:p w14:paraId="3DC6FC34" w14:textId="77777777" w:rsidR="008A37EC" w:rsidRPr="008A37EC" w:rsidRDefault="008A37EC" w:rsidP="00402D02">
      <w:pPr>
        <w:pStyle w:val="SGBodytext"/>
        <w:rPr>
          <w:rFonts w:eastAsiaTheme="majorEastAsia"/>
          <w:color w:val="17365D" w:themeColor="text2" w:themeShade="BF"/>
          <w:spacing w:val="5"/>
          <w:kern w:val="28"/>
          <w:sz w:val="52"/>
          <w:szCs w:val="52"/>
        </w:rPr>
      </w:pPr>
      <w:r w:rsidRPr="008A37EC">
        <w:br w:type="page"/>
      </w:r>
    </w:p>
    <w:p w14:paraId="15C63860" w14:textId="77777777" w:rsidR="008A37EC" w:rsidRPr="00246F60" w:rsidRDefault="008A37EC" w:rsidP="00246F60">
      <w:pPr>
        <w:pStyle w:val="Heading1blue"/>
        <w:numPr>
          <w:ilvl w:val="0"/>
          <w:numId w:val="33"/>
        </w:numPr>
        <w:rPr>
          <w:rFonts w:eastAsiaTheme="majorEastAsia"/>
        </w:rPr>
      </w:pPr>
      <w:bookmarkStart w:id="34" w:name="_Toc419291721"/>
      <w:bookmarkStart w:id="35" w:name="_Ref425947781"/>
      <w:bookmarkStart w:id="36" w:name="_Ref426007880"/>
      <w:bookmarkStart w:id="37" w:name="_Toc429555814"/>
      <w:r w:rsidRPr="00246F60">
        <w:rPr>
          <w:rFonts w:eastAsiaTheme="majorEastAsia"/>
        </w:rPr>
        <w:lastRenderedPageBreak/>
        <w:t xml:space="preserve">Learning from the Canadian </w:t>
      </w:r>
      <w:r w:rsidR="00072B27">
        <w:rPr>
          <w:rFonts w:eastAsiaTheme="majorEastAsia"/>
        </w:rPr>
        <w:tab/>
      </w:r>
      <w:r w:rsidRPr="00246F60">
        <w:rPr>
          <w:rFonts w:eastAsiaTheme="majorEastAsia"/>
        </w:rPr>
        <w:t>Experience</w:t>
      </w:r>
      <w:bookmarkEnd w:id="34"/>
      <w:bookmarkEnd w:id="35"/>
      <w:bookmarkEnd w:id="36"/>
      <w:bookmarkEnd w:id="37"/>
    </w:p>
    <w:p w14:paraId="706D7A69" w14:textId="77777777" w:rsidR="008A37EC" w:rsidRPr="008A37EC" w:rsidRDefault="008A37EC" w:rsidP="00402D02">
      <w:pPr>
        <w:pStyle w:val="SGBodytext"/>
      </w:pPr>
    </w:p>
    <w:p w14:paraId="32FE0F8C" w14:textId="250B4222" w:rsidR="008A37EC" w:rsidRPr="008A37EC" w:rsidRDefault="008A37EC" w:rsidP="00402D02">
      <w:pPr>
        <w:pStyle w:val="SGBodytext"/>
      </w:pPr>
      <w:r w:rsidRPr="008A37EC">
        <w:t xml:space="preserve">Canada has </w:t>
      </w:r>
      <w:r w:rsidR="001F780D">
        <w:t>moved</w:t>
      </w:r>
      <w:r w:rsidRPr="008A37EC">
        <w:t xml:space="preserve"> from a traditional, male-centric approach to a women-only regional system in which women are held nearer home, can have private family visits and receive trauma counselling.  However, although the original ethos of ‘self-care’ in a </w:t>
      </w:r>
      <w:r w:rsidR="00505F0A">
        <w:t xml:space="preserve">campus </w:t>
      </w:r>
      <w:r w:rsidR="006C4089">
        <w:t>style</w:t>
      </w:r>
      <w:r w:rsidRPr="008A37EC">
        <w:t xml:space="preserve"> </w:t>
      </w:r>
      <w:r w:rsidR="00E0469F">
        <w:t xml:space="preserve">setting </w:t>
      </w:r>
      <w:r w:rsidRPr="008A37EC">
        <w:t xml:space="preserve">remains sound, a number of studies have criticised its implementation.  Since the 1990s the new prison regime has had to cope with </w:t>
      </w:r>
      <w:r w:rsidRPr="008A37EC">
        <w:rPr>
          <w:b/>
        </w:rPr>
        <w:t>increasing levels of female incarceration</w:t>
      </w:r>
      <w:r w:rsidR="00653039">
        <w:rPr>
          <w:rStyle w:val="FootnoteReference"/>
          <w:b/>
        </w:rPr>
        <w:footnoteReference w:id="18"/>
      </w:r>
      <w:r w:rsidRPr="008A37EC">
        <w:t xml:space="preserve"> and as a result has had to expand rather than contract (</w:t>
      </w:r>
      <w:r w:rsidR="00486A47">
        <w:t xml:space="preserve">see </w:t>
      </w:r>
      <w:r w:rsidR="00C03604" w:rsidRPr="00EB29FB">
        <w:rPr>
          <w:i/>
        </w:rPr>
        <w:t>Small</w:t>
      </w:r>
      <w:r w:rsidR="00402D02">
        <w:rPr>
          <w:i/>
        </w:rPr>
        <w:t xml:space="preserve"> </w:t>
      </w:r>
      <w:r w:rsidR="00C03604">
        <w:rPr>
          <w:i/>
        </w:rPr>
        <w:t>custodial units</w:t>
      </w:r>
      <w:r w:rsidR="00C03604">
        <w:t xml:space="preserve"> in </w:t>
      </w:r>
      <w:r w:rsidR="00486A47">
        <w:t>Chapter 5.</w:t>
      </w:r>
      <w:r w:rsidRPr="008A37EC">
        <w:t>).  This has been attributed (in part) to an increase in the use of short sentences, particularly for women with mental health problems</w:t>
      </w:r>
      <w:r w:rsidRPr="008A37EC">
        <w:rPr>
          <w:vertAlign w:val="superscript"/>
        </w:rPr>
        <w:endnoteReference w:id="115"/>
      </w:r>
      <w:r w:rsidRPr="008A37EC">
        <w:rPr>
          <w:vertAlign w:val="superscript"/>
        </w:rPr>
        <w:t>,</w:t>
      </w:r>
      <w:r w:rsidRPr="008A37EC">
        <w:rPr>
          <w:vertAlign w:val="superscript"/>
        </w:rPr>
        <w:endnoteReference w:id="116"/>
      </w:r>
      <w:r w:rsidRPr="008A37EC">
        <w:t>.</w:t>
      </w:r>
      <w:r w:rsidR="00B00928">
        <w:t xml:space="preserve">  There are approximately 600 women in federal institutions in Canada (201</w:t>
      </w:r>
      <w:r w:rsidR="008E551A">
        <w:t>2</w:t>
      </w:r>
      <w:r w:rsidR="00B00928">
        <w:t>)</w:t>
      </w:r>
      <w:r w:rsidR="008E551A">
        <w:rPr>
          <w:rStyle w:val="EndnoteReference"/>
        </w:rPr>
        <w:endnoteReference w:id="117"/>
      </w:r>
      <w:r w:rsidR="008E551A">
        <w:t xml:space="preserve"> (this excludes women serving sentences under two years who fall under provincial jurisdiction</w:t>
      </w:r>
      <w:r w:rsidR="008E551A">
        <w:rPr>
          <w:rStyle w:val="FootnoteReference"/>
        </w:rPr>
        <w:footnoteReference w:id="19"/>
      </w:r>
      <w:r w:rsidR="008E551A">
        <w:t>).</w:t>
      </w:r>
    </w:p>
    <w:p w14:paraId="57A73C02" w14:textId="77777777" w:rsidR="008A37EC" w:rsidRPr="008A37EC" w:rsidRDefault="008A37EC" w:rsidP="00402D02">
      <w:pPr>
        <w:pStyle w:val="SGBodytext"/>
      </w:pPr>
      <w:r w:rsidRPr="008A37EC">
        <w:t xml:space="preserve">It has been argued that </w:t>
      </w:r>
      <w:r w:rsidRPr="00EB29FB">
        <w:rPr>
          <w:b/>
        </w:rPr>
        <w:t>overcrowding has led to security issues taking precedence over rehabilitation</w:t>
      </w:r>
      <w:r w:rsidRPr="008A37EC">
        <w:rPr>
          <w:vertAlign w:val="superscript"/>
        </w:rPr>
        <w:endnoteReference w:id="118"/>
      </w:r>
      <w:r w:rsidRPr="008A37EC">
        <w:t xml:space="preserve">, and that the pressure on the prison system has resulted in women being held at (too) high levels of security (particularly Aboriginal prisoners), </w:t>
      </w:r>
      <w:r w:rsidRPr="008A37EC">
        <w:rPr>
          <w:b/>
        </w:rPr>
        <w:t>underuse of conditional releases</w:t>
      </w:r>
      <w:r w:rsidRPr="008A37EC">
        <w:t>, a reported lack of appropriate support and safety, and poor mental health provision</w:t>
      </w:r>
      <w:r w:rsidRPr="008A37EC">
        <w:rPr>
          <w:vertAlign w:val="superscript"/>
        </w:rPr>
        <w:endnoteReference w:id="119"/>
      </w:r>
      <w:r w:rsidRPr="008A37EC">
        <w:t>.  One paper, based on interviews with women in halfway houses, reported the lack of counselling services and over-use of psychotropic drugs</w:t>
      </w:r>
      <w:r w:rsidRPr="008A37EC">
        <w:rPr>
          <w:vertAlign w:val="superscript"/>
        </w:rPr>
        <w:endnoteReference w:id="120"/>
      </w:r>
      <w:r w:rsidRPr="008A37EC">
        <w:t xml:space="preserve">.  As noted earlier, </w:t>
      </w:r>
      <w:r w:rsidRPr="00505F0A">
        <w:rPr>
          <w:b/>
        </w:rPr>
        <w:t xml:space="preserve">specialist mental health provision was centralised and is now delivered from </w:t>
      </w:r>
      <w:r w:rsidR="0023330C">
        <w:rPr>
          <w:b/>
        </w:rPr>
        <w:t>two</w:t>
      </w:r>
      <w:r w:rsidR="0023330C" w:rsidRPr="00505F0A">
        <w:rPr>
          <w:b/>
        </w:rPr>
        <w:t xml:space="preserve"> </w:t>
      </w:r>
      <w:r w:rsidRPr="00505F0A">
        <w:rPr>
          <w:b/>
        </w:rPr>
        <w:t>specialist national unit</w:t>
      </w:r>
      <w:r w:rsidR="0023330C">
        <w:rPr>
          <w:b/>
        </w:rPr>
        <w:t>s</w:t>
      </w:r>
      <w:r w:rsidRPr="008A37EC">
        <w:t xml:space="preserve">. </w:t>
      </w:r>
    </w:p>
    <w:p w14:paraId="45B603E0" w14:textId="77777777" w:rsidR="008A37EC" w:rsidRPr="008A37EC" w:rsidRDefault="008A37EC" w:rsidP="00402D02">
      <w:pPr>
        <w:pStyle w:val="SGBodytext"/>
      </w:pPr>
      <w:r w:rsidRPr="008A37EC">
        <w:t>A review of the task force twenty years on</w:t>
      </w:r>
      <w:r w:rsidRPr="008A37EC">
        <w:rPr>
          <w:vertAlign w:val="superscript"/>
        </w:rPr>
        <w:endnoteReference w:id="121"/>
      </w:r>
      <w:r w:rsidRPr="008A37EC">
        <w:t>, which included a survey of female prisoners in 2010, reported improvements in offender-staff interactions, and an increase in the range of services and programmes available to women.  However, the report also highlighted women’s desire for increased access to health services,</w:t>
      </w:r>
      <w:r w:rsidR="000D1393">
        <w:t xml:space="preserve"> </w:t>
      </w:r>
      <w:r w:rsidRPr="008A37EC">
        <w:t xml:space="preserve">more frequently run programmes and more contact with community </w:t>
      </w:r>
      <w:r w:rsidR="000D1393" w:rsidRPr="008A37EC">
        <w:t xml:space="preserve"> </w:t>
      </w:r>
      <w:r w:rsidRPr="008A37EC">
        <w:t>and reintegration services (e.g. employment and educational opportunities)</w:t>
      </w:r>
      <w:r w:rsidR="000D1393">
        <w:t xml:space="preserve">, as well as concerns about the costs associated with family visits (see </w:t>
      </w:r>
      <w:r w:rsidR="00797336" w:rsidRPr="00126D3E">
        <w:rPr>
          <w:i/>
        </w:rPr>
        <w:t>International approaches to parental responsibilities</w:t>
      </w:r>
      <w:r w:rsidR="00797336">
        <w:t xml:space="preserve"> in </w:t>
      </w:r>
      <w:r w:rsidR="000D1393">
        <w:t>Chapter 8.)</w:t>
      </w:r>
      <w:r w:rsidRPr="008A37EC">
        <w:t xml:space="preserve">.  </w:t>
      </w:r>
    </w:p>
    <w:p w14:paraId="72BF7878" w14:textId="77777777" w:rsidR="00D0061A" w:rsidRDefault="008A37EC" w:rsidP="00402D02">
      <w:pPr>
        <w:pStyle w:val="SGBodytext"/>
      </w:pPr>
      <w:r w:rsidRPr="008A37EC">
        <w:t xml:space="preserve">Other reviews have </w:t>
      </w:r>
      <w:r w:rsidR="00C03604">
        <w:t>noted</w:t>
      </w:r>
      <w:r w:rsidR="00C03604" w:rsidRPr="008A37EC">
        <w:t xml:space="preserve"> </w:t>
      </w:r>
      <w:r w:rsidRPr="008A37EC">
        <w:t xml:space="preserve">the ‘remarkable’ progress that has been </w:t>
      </w:r>
      <w:r w:rsidRPr="00EB29FB">
        <w:t>achieved in Canada</w:t>
      </w:r>
      <w:r w:rsidRPr="00EB29FB">
        <w:rPr>
          <w:vertAlign w:val="superscript"/>
        </w:rPr>
        <w:endnoteReference w:id="122"/>
      </w:r>
      <w:r w:rsidRPr="00EB29FB">
        <w:t xml:space="preserve">.  It is therefore perhaps amiss to focus on the problems that Canada has experienced without acknowledging the </w:t>
      </w:r>
      <w:r w:rsidR="00A00E3E">
        <w:t>progress</w:t>
      </w:r>
      <w:r w:rsidRPr="00EB29FB">
        <w:t xml:space="preserve"> that </w:t>
      </w:r>
      <w:r w:rsidR="00A00E3E" w:rsidRPr="00EB29FB">
        <w:t>h</w:t>
      </w:r>
      <w:r w:rsidR="00A00E3E">
        <w:t>as</w:t>
      </w:r>
      <w:r w:rsidR="00A00E3E" w:rsidRPr="00EB29FB">
        <w:t xml:space="preserve"> </w:t>
      </w:r>
      <w:r w:rsidRPr="00EB29FB">
        <w:t xml:space="preserve">been made.  </w:t>
      </w:r>
      <w:r w:rsidR="00D0061A">
        <w:t>Lack of readily available data and the federal/provincial arrangements in Canada make it difficult to assess the impact of the new regime</w:t>
      </w:r>
      <w:r w:rsidR="001F780D">
        <w:t xml:space="preserve"> and to compare recidivism rates with other countries.  A </w:t>
      </w:r>
      <w:r w:rsidR="001F780D" w:rsidRPr="00EB29FB">
        <w:t xml:space="preserve">Canadian </w:t>
      </w:r>
      <w:r w:rsidR="001F780D" w:rsidRPr="00EB29FB">
        <w:lastRenderedPageBreak/>
        <w:t>government report in 2008</w:t>
      </w:r>
      <w:r w:rsidR="001F780D" w:rsidRPr="00EB29FB">
        <w:rPr>
          <w:rStyle w:val="EndnoteReference"/>
        </w:rPr>
        <w:endnoteReference w:id="123"/>
      </w:r>
      <w:r w:rsidR="001F780D" w:rsidRPr="00EB29FB">
        <w:t xml:space="preserve"> cites a reconviction rate (for new offences) for federally sentenced women of approximately 29%</w:t>
      </w:r>
      <w:r w:rsidR="001F780D">
        <w:rPr>
          <w:rStyle w:val="FootnoteReference"/>
        </w:rPr>
        <w:footnoteReference w:id="20"/>
      </w:r>
      <w:r w:rsidR="001F780D">
        <w:t xml:space="preserve">. </w:t>
      </w:r>
    </w:p>
    <w:p w14:paraId="367D9A77" w14:textId="77777777" w:rsidR="008A37EC" w:rsidRPr="008A37EC" w:rsidRDefault="008A37EC" w:rsidP="00402D02">
      <w:pPr>
        <w:pStyle w:val="SGBodytext"/>
      </w:pPr>
      <w:r w:rsidRPr="008A37EC">
        <w:t xml:space="preserve">A number of </w:t>
      </w:r>
      <w:r w:rsidRPr="008A37EC">
        <w:rPr>
          <w:b/>
        </w:rPr>
        <w:t>lessons learned</w:t>
      </w:r>
      <w:r w:rsidRPr="008A37EC">
        <w:t xml:space="preserve"> can be drawn from the Canadian experience.  </w:t>
      </w:r>
    </w:p>
    <w:p w14:paraId="0B9B9F46" w14:textId="77777777" w:rsidR="008A37EC" w:rsidRPr="000E57F5" w:rsidRDefault="008A37EC" w:rsidP="006F0C6A">
      <w:pPr>
        <w:pStyle w:val="SGBullet"/>
        <w:rPr>
          <w:sz w:val="24"/>
          <w:szCs w:val="24"/>
          <w:lang w:eastAsia="en-GB"/>
        </w:rPr>
      </w:pPr>
      <w:r w:rsidRPr="000E57F5">
        <w:rPr>
          <w:sz w:val="24"/>
          <w:szCs w:val="24"/>
          <w:lang w:eastAsia="en-GB"/>
        </w:rPr>
        <w:t>Firstly, a new prison regime and regional distribution of prisons does not in itself reduce the female prison population</w:t>
      </w:r>
      <w:r w:rsidR="00C61514" w:rsidRPr="000E57F5">
        <w:rPr>
          <w:sz w:val="24"/>
          <w:szCs w:val="24"/>
          <w:lang w:eastAsia="en-GB"/>
        </w:rPr>
        <w:t xml:space="preserve">. </w:t>
      </w:r>
      <w:r w:rsidR="00902AE0" w:rsidRPr="000E57F5">
        <w:rPr>
          <w:sz w:val="24"/>
          <w:szCs w:val="24"/>
          <w:lang w:eastAsia="en-GB"/>
        </w:rPr>
        <w:t xml:space="preserve"> </w:t>
      </w:r>
      <w:r w:rsidR="00486A47" w:rsidRPr="000E57F5">
        <w:rPr>
          <w:sz w:val="24"/>
          <w:szCs w:val="24"/>
          <w:lang w:eastAsia="en-GB"/>
        </w:rPr>
        <w:t>Without a corresponding reduction in custodial convictions, smaller prisons would struggle to cope with increases in prison population</w:t>
      </w:r>
    </w:p>
    <w:p w14:paraId="6C3A0450" w14:textId="77777777" w:rsidR="008A37EC" w:rsidRPr="000E57F5" w:rsidRDefault="008A37EC" w:rsidP="006F0C6A">
      <w:pPr>
        <w:pStyle w:val="SGBullet"/>
        <w:rPr>
          <w:sz w:val="24"/>
          <w:szCs w:val="24"/>
          <w:lang w:eastAsia="en-GB"/>
        </w:rPr>
      </w:pPr>
      <w:r w:rsidRPr="000E57F5">
        <w:rPr>
          <w:sz w:val="24"/>
          <w:szCs w:val="24"/>
          <w:lang w:eastAsia="en-GB"/>
        </w:rPr>
        <w:t xml:space="preserve">Secondly, the importance of staff culture cannot be under-estimated.  As one report noted “The lesson seems to be that Canada changed the arrangements but did not change the culture of the staff.” </w:t>
      </w:r>
      <w:r w:rsidRPr="000E57F5">
        <w:rPr>
          <w:sz w:val="24"/>
          <w:szCs w:val="24"/>
          <w:vertAlign w:val="superscript"/>
          <w:lang w:eastAsia="en-GB"/>
        </w:rPr>
        <w:endnoteReference w:id="124"/>
      </w:r>
    </w:p>
    <w:p w14:paraId="08C460A2" w14:textId="77777777" w:rsidR="008A37EC" w:rsidRPr="000E57F5" w:rsidRDefault="008A37EC" w:rsidP="006F0C6A">
      <w:pPr>
        <w:pStyle w:val="SGBullet"/>
        <w:rPr>
          <w:sz w:val="24"/>
          <w:szCs w:val="24"/>
          <w:lang w:eastAsia="en-GB"/>
        </w:rPr>
      </w:pPr>
      <w:r w:rsidRPr="000E57F5">
        <w:rPr>
          <w:sz w:val="24"/>
          <w:szCs w:val="24"/>
          <w:lang w:eastAsia="en-GB"/>
        </w:rPr>
        <w:t xml:space="preserve">Thirdly, some specialist care may be difficult to deliver in regional facilities, in particular specialist mental healthcare.  </w:t>
      </w:r>
    </w:p>
    <w:p w14:paraId="70BBEC28" w14:textId="77777777" w:rsidR="00246F60" w:rsidRDefault="008A37EC" w:rsidP="006F0C6A">
      <w:pPr>
        <w:pStyle w:val="SGBullet"/>
      </w:pPr>
      <w:r w:rsidRPr="000E57F5">
        <w:rPr>
          <w:sz w:val="24"/>
          <w:szCs w:val="24"/>
          <w:lang w:eastAsia="en-GB"/>
        </w:rPr>
        <w:t xml:space="preserve">Lastly, as noted, </w:t>
      </w:r>
      <w:r w:rsidR="00E214DC" w:rsidRPr="000E57F5">
        <w:rPr>
          <w:sz w:val="24"/>
          <w:szCs w:val="24"/>
          <w:lang w:eastAsia="en-GB"/>
        </w:rPr>
        <w:t xml:space="preserve">most </w:t>
      </w:r>
      <w:r w:rsidRPr="000E57F5">
        <w:rPr>
          <w:sz w:val="24"/>
          <w:szCs w:val="24"/>
          <w:lang w:eastAsia="en-GB"/>
        </w:rPr>
        <w:t xml:space="preserve">women in Canadian prisons continue </w:t>
      </w:r>
      <w:r w:rsidR="00E214DC" w:rsidRPr="000E57F5">
        <w:rPr>
          <w:sz w:val="24"/>
          <w:szCs w:val="24"/>
          <w:lang w:eastAsia="en-GB"/>
        </w:rPr>
        <w:t xml:space="preserve">to keep in contact with family through letters and phone calls (rather than visits), and cite costs associated with travel and phone calls as continuing </w:t>
      </w:r>
      <w:r w:rsidRPr="000E57F5">
        <w:rPr>
          <w:sz w:val="24"/>
          <w:szCs w:val="24"/>
          <w:lang w:eastAsia="en-GB"/>
        </w:rPr>
        <w:t xml:space="preserve"> barriers to </w:t>
      </w:r>
      <w:r w:rsidR="00E214DC" w:rsidRPr="000E57F5">
        <w:rPr>
          <w:sz w:val="24"/>
          <w:szCs w:val="24"/>
          <w:lang w:eastAsia="en-GB"/>
        </w:rPr>
        <w:t>family contact</w:t>
      </w:r>
      <w:r w:rsidRPr="000E57F5">
        <w:rPr>
          <w:b/>
          <w:sz w:val="24"/>
          <w:szCs w:val="24"/>
          <w:vertAlign w:val="superscript"/>
          <w:lang w:eastAsia="en-GB"/>
        </w:rPr>
        <w:endnoteReference w:id="125"/>
      </w:r>
      <w:r w:rsidRPr="000E57F5">
        <w:rPr>
          <w:sz w:val="24"/>
          <w:szCs w:val="24"/>
          <w:lang w:eastAsia="en-GB"/>
        </w:rPr>
        <w:t xml:space="preserve">.  This suggests that location alone may be insufficient </w:t>
      </w:r>
      <w:r w:rsidR="00E214DC" w:rsidRPr="000E57F5">
        <w:rPr>
          <w:sz w:val="24"/>
          <w:szCs w:val="24"/>
          <w:lang w:eastAsia="en-GB"/>
        </w:rPr>
        <w:t xml:space="preserve">to overcome some barriers to </w:t>
      </w:r>
      <w:r w:rsidR="004C212C" w:rsidRPr="000E57F5">
        <w:rPr>
          <w:sz w:val="24"/>
          <w:szCs w:val="24"/>
          <w:lang w:eastAsia="en-GB"/>
        </w:rPr>
        <w:t xml:space="preserve">maintaining </w:t>
      </w:r>
      <w:r w:rsidR="00E214DC" w:rsidRPr="000E57F5">
        <w:rPr>
          <w:sz w:val="24"/>
          <w:szCs w:val="24"/>
          <w:lang w:eastAsia="en-GB"/>
        </w:rPr>
        <w:t xml:space="preserve">family contact </w:t>
      </w:r>
      <w:r w:rsidRPr="000E57F5">
        <w:rPr>
          <w:sz w:val="24"/>
          <w:szCs w:val="24"/>
          <w:lang w:eastAsia="en-GB"/>
        </w:rPr>
        <w:t xml:space="preserve">and that prisoners and their families may need additional support </w:t>
      </w:r>
      <w:r w:rsidR="004C212C" w:rsidRPr="000E57F5">
        <w:rPr>
          <w:sz w:val="24"/>
          <w:szCs w:val="24"/>
          <w:lang w:eastAsia="en-GB"/>
        </w:rPr>
        <w:t>to do so</w:t>
      </w:r>
      <w:r w:rsidR="00486A47" w:rsidRPr="000E57F5">
        <w:rPr>
          <w:sz w:val="24"/>
          <w:szCs w:val="24"/>
          <w:lang w:eastAsia="en-GB"/>
        </w:rPr>
        <w:t xml:space="preserve"> </w:t>
      </w:r>
      <w:r w:rsidRPr="000E57F5">
        <w:rPr>
          <w:sz w:val="24"/>
          <w:szCs w:val="24"/>
          <w:lang w:eastAsia="en-GB"/>
        </w:rPr>
        <w:t>(e.g. transport, parenting interventions).</w:t>
      </w:r>
      <w:r w:rsidR="00246F60">
        <w:br w:type="page"/>
      </w:r>
    </w:p>
    <w:p w14:paraId="745FBB68" w14:textId="77777777" w:rsidR="008A37EC" w:rsidRPr="00246F60" w:rsidRDefault="008A37EC" w:rsidP="00246F60">
      <w:pPr>
        <w:pStyle w:val="Heading1blue"/>
        <w:numPr>
          <w:ilvl w:val="0"/>
          <w:numId w:val="33"/>
        </w:numPr>
        <w:rPr>
          <w:rFonts w:eastAsiaTheme="majorEastAsia"/>
        </w:rPr>
      </w:pPr>
      <w:bookmarkStart w:id="38" w:name="_Toc419291722"/>
      <w:bookmarkStart w:id="39" w:name="_Toc429555815"/>
      <w:r w:rsidRPr="00246F60">
        <w:rPr>
          <w:rFonts w:eastAsiaTheme="majorEastAsia"/>
        </w:rPr>
        <w:lastRenderedPageBreak/>
        <w:t xml:space="preserve">Policy Considerations for </w:t>
      </w:r>
      <w:bookmarkEnd w:id="38"/>
      <w:r w:rsidRPr="00246F60">
        <w:rPr>
          <w:rFonts w:eastAsiaTheme="majorEastAsia"/>
        </w:rPr>
        <w:t xml:space="preserve">Women in </w:t>
      </w:r>
      <w:r w:rsidR="00246F60">
        <w:rPr>
          <w:rFonts w:eastAsiaTheme="majorEastAsia"/>
        </w:rPr>
        <w:tab/>
      </w:r>
      <w:r w:rsidRPr="00246F60">
        <w:rPr>
          <w:rFonts w:eastAsiaTheme="majorEastAsia"/>
        </w:rPr>
        <w:t>Custody</w:t>
      </w:r>
      <w:bookmarkEnd w:id="39"/>
    </w:p>
    <w:p w14:paraId="17A56ECF" w14:textId="77777777" w:rsidR="008A37EC" w:rsidRPr="008A37EC" w:rsidRDefault="008A37EC" w:rsidP="00402D02">
      <w:pPr>
        <w:pStyle w:val="SGBodytext"/>
      </w:pPr>
    </w:p>
    <w:p w14:paraId="4098AF93" w14:textId="77777777" w:rsidR="008A37EC" w:rsidRPr="008A37EC" w:rsidRDefault="008A37EC" w:rsidP="00402D02">
      <w:pPr>
        <w:pStyle w:val="SGBodytext"/>
      </w:pPr>
      <w:r w:rsidRPr="008A37EC">
        <w:t xml:space="preserve">In addition to the </w:t>
      </w:r>
      <w:r w:rsidR="00486A47">
        <w:t>model</w:t>
      </w:r>
      <w:r w:rsidR="00486A47" w:rsidRPr="008A37EC">
        <w:t xml:space="preserve"> </w:t>
      </w:r>
      <w:r w:rsidRPr="008A37EC">
        <w:t xml:space="preserve">and distribution of prisons, there are a host of other factors </w:t>
      </w:r>
      <w:r w:rsidR="00C03604">
        <w:t xml:space="preserve">pertinent to </w:t>
      </w:r>
      <w:r w:rsidRPr="008A37EC">
        <w:t>any redesign of a custodial estate.  These are briefly described below, with the exception of parental responsibilities which is covered more fully (due to this being a key issue for women prisoners).</w:t>
      </w:r>
    </w:p>
    <w:p w14:paraId="3C9472F8" w14:textId="77777777" w:rsidR="008A37EC" w:rsidRPr="008A37EC" w:rsidRDefault="008A37EC" w:rsidP="00246F60">
      <w:pPr>
        <w:pStyle w:val="Heading2blue"/>
        <w:rPr>
          <w:rFonts w:eastAsiaTheme="majorEastAsia"/>
          <w:lang w:eastAsia="en-GB"/>
        </w:rPr>
      </w:pPr>
      <w:bookmarkStart w:id="40" w:name="_Toc429555816"/>
      <w:r w:rsidRPr="008A37EC">
        <w:rPr>
          <w:rFonts w:eastAsiaTheme="majorEastAsia"/>
          <w:lang w:eastAsia="en-GB"/>
        </w:rPr>
        <w:t>Location – proximity to home</w:t>
      </w:r>
      <w:bookmarkEnd w:id="40"/>
    </w:p>
    <w:p w14:paraId="260B6265" w14:textId="77777777" w:rsidR="008A37EC" w:rsidRPr="008A37EC" w:rsidRDefault="008A37EC" w:rsidP="00402D02">
      <w:pPr>
        <w:pStyle w:val="SGBodytext"/>
      </w:pPr>
      <w:r w:rsidRPr="008A37EC">
        <w:t>Countries have taken different approaches in how to accommodate a minority of prisoners (</w:t>
      </w:r>
      <w:r w:rsidR="0043553B">
        <w:t>2</w:t>
      </w:r>
      <w:r w:rsidRPr="008A37EC">
        <w:t>-</w:t>
      </w:r>
      <w:r w:rsidR="0043553B">
        <w:t>9</w:t>
      </w:r>
      <w:r w:rsidRPr="008A37EC">
        <w:t xml:space="preserve">% in Europe) within a prison system mostly designed for men.  As the ICPS 2008 Review notes, some countries make little distinction between men and women, with women being housed in large </w:t>
      </w:r>
      <w:r w:rsidR="004C212C">
        <w:t xml:space="preserve">(male) </w:t>
      </w:r>
      <w:r w:rsidRPr="008A37EC">
        <w:t>prisons far from home (e.g. USA), whilst others have a hybrid system in which women are imprisoned in women’s prisons or small units attached to men’s prisons so women can be nearer home (e.g. Spain</w:t>
      </w:r>
      <w:r w:rsidR="00486A47">
        <w:t xml:space="preserve"> and France</w:t>
      </w:r>
      <w:r w:rsidRPr="008A37EC">
        <w:t>).  Others have permanent alternatives to prison to enable some women to serve their sentences at home (e.g. Sweden).  For some countries (e.g Germany) being placed close to home</w:t>
      </w:r>
      <w:r w:rsidR="00C03604">
        <w:t>,</w:t>
      </w:r>
      <w:r w:rsidRPr="008A37EC">
        <w:t xml:space="preserve"> and to family in particular</w:t>
      </w:r>
      <w:r w:rsidR="00C03604">
        <w:t>,</w:t>
      </w:r>
      <w:r w:rsidRPr="008A37EC">
        <w:t xml:space="preserve"> is one of the principles of imprisonment</w:t>
      </w:r>
      <w:r w:rsidRPr="008A37EC">
        <w:rPr>
          <w:vertAlign w:val="superscript"/>
        </w:rPr>
        <w:endnoteReference w:id="126"/>
      </w:r>
      <w:r w:rsidRPr="008A37EC">
        <w:t>.</w:t>
      </w:r>
    </w:p>
    <w:p w14:paraId="1DCA8F6A" w14:textId="77777777" w:rsidR="008A37EC" w:rsidRPr="008A37EC" w:rsidRDefault="008A37EC" w:rsidP="00402D02">
      <w:pPr>
        <w:pStyle w:val="SGBodytext"/>
      </w:pPr>
      <w:r w:rsidRPr="008A37EC">
        <w:t xml:space="preserve">Whilst </w:t>
      </w:r>
      <w:r w:rsidRPr="008A37EC">
        <w:rPr>
          <w:b/>
        </w:rPr>
        <w:t>small dispersed units</w:t>
      </w:r>
      <w:r w:rsidRPr="008A37EC">
        <w:t xml:space="preserve"> allow women to reside closer to home, this does not in itself guarantee better outcomes for women.  In Spain the dispersed model has reportedly resulted in what is sometimes predicted of this approach: that “women get fewer resources and are an afterthought when the policy for the wider prison is being decided.”</w:t>
      </w:r>
      <w:r w:rsidRPr="008A37EC">
        <w:rPr>
          <w:vertAlign w:val="superscript"/>
        </w:rPr>
        <w:endnoteReference w:id="127"/>
      </w:r>
      <w:r w:rsidRPr="008A37EC">
        <w:t xml:space="preserve">  Similarly, the </w:t>
      </w:r>
      <w:r w:rsidR="00E0469F">
        <w:t>prison reform</w:t>
      </w:r>
      <w:r w:rsidRPr="008A37EC">
        <w:t xml:space="preserve"> </w:t>
      </w:r>
      <w:r w:rsidR="00E0469F">
        <w:t>under</w:t>
      </w:r>
      <w:r w:rsidRPr="008A37EC">
        <w:t xml:space="preserve">taken in Canada has not been without its challenges: notably its struggle to cope with a rising female prison population (see </w:t>
      </w:r>
      <w:r w:rsidR="00E0469F">
        <w:t>previous</w:t>
      </w:r>
      <w:r w:rsidR="004C212C">
        <w:t xml:space="preserve"> chapter</w:t>
      </w:r>
      <w:r w:rsidRPr="008A37EC">
        <w:t xml:space="preserve">).  </w:t>
      </w:r>
    </w:p>
    <w:p w14:paraId="7EEC9D5C" w14:textId="77777777" w:rsidR="00E0469F" w:rsidRDefault="008A37EC" w:rsidP="00402D02">
      <w:pPr>
        <w:pStyle w:val="SGBodytext"/>
      </w:pPr>
      <w:r w:rsidRPr="008A37EC">
        <w:t xml:space="preserve">Equally important is </w:t>
      </w:r>
      <w:r w:rsidRPr="008A37EC">
        <w:rPr>
          <w:b/>
        </w:rPr>
        <w:t>proximity to local (universal) services</w:t>
      </w:r>
      <w:r w:rsidRPr="008A37EC">
        <w:t xml:space="preserve">.  </w:t>
      </w:r>
      <w:r w:rsidR="00E0469F">
        <w:t>In s</w:t>
      </w:r>
      <w:r w:rsidRPr="008A37EC">
        <w:t xml:space="preserve">ome countries local services continue to </w:t>
      </w:r>
      <w:r w:rsidR="00E0469F">
        <w:t>support</w:t>
      </w:r>
      <w:r w:rsidRPr="008A37EC">
        <w:t xml:space="preserve"> their clients in prisons.  In Norway this approach is called the </w:t>
      </w:r>
      <w:r w:rsidRPr="008A37EC">
        <w:rPr>
          <w:b/>
        </w:rPr>
        <w:t>‘import model’</w:t>
      </w:r>
      <w:r w:rsidR="00E0469F">
        <w:t xml:space="preserve">.  Health, education, employment, clerical and library services are all ‘imported’ from </w:t>
      </w:r>
      <w:r w:rsidR="00E1494A">
        <w:t xml:space="preserve">(and funded by) </w:t>
      </w:r>
      <w:r w:rsidR="00E0469F">
        <w:t xml:space="preserve">the community.  This is </w:t>
      </w:r>
      <w:r w:rsidR="00E1494A">
        <w:t xml:space="preserve">considered vital for reintegration as it ensures continuity of services for prisoners and engages the community in prisons (and in doing so, improves the </w:t>
      </w:r>
      <w:r w:rsidR="00682730">
        <w:t xml:space="preserve">public </w:t>
      </w:r>
      <w:r w:rsidR="00E1494A">
        <w:t>perception of prisons and prisoners)</w:t>
      </w:r>
      <w:r w:rsidR="004C212C">
        <w:rPr>
          <w:rStyle w:val="EndnoteReference"/>
        </w:rPr>
        <w:endnoteReference w:id="128"/>
      </w:r>
      <w:r w:rsidR="004C212C">
        <w:t>.</w:t>
      </w:r>
    </w:p>
    <w:p w14:paraId="565DDA0B" w14:textId="77777777" w:rsidR="008A37EC" w:rsidRPr="008A37EC" w:rsidRDefault="008A37EC" w:rsidP="00402D02">
      <w:pPr>
        <w:pStyle w:val="SGBodytext"/>
      </w:pPr>
      <w:r w:rsidRPr="008A37EC">
        <w:t>Whilst many prisons are in isolated locations, good (international) practice suggests that prisons should be located in urban areas close to prisoners’ communities</w:t>
      </w:r>
      <w:r w:rsidRPr="008A37EC">
        <w:rPr>
          <w:vertAlign w:val="superscript"/>
        </w:rPr>
        <w:endnoteReference w:id="129"/>
      </w:r>
      <w:r w:rsidRPr="008A37EC">
        <w:t xml:space="preserve">.  The premise of a ‘metropolitan area’ approach is that it allows women (and their children) to access local services within their existing community (e.g. education, training and work opportunities, universal health and welfare services), and </w:t>
      </w:r>
      <w:r w:rsidR="00682730">
        <w:t>to maintain</w:t>
      </w:r>
      <w:r w:rsidRPr="008A37EC">
        <w:t xml:space="preserve"> family and community ties whilst in prison</w:t>
      </w:r>
      <w:r w:rsidR="00682730">
        <w:t>, both of which are crucial to</w:t>
      </w:r>
      <w:r w:rsidR="00EE636D">
        <w:t xml:space="preserve"> </w:t>
      </w:r>
      <w:r w:rsidRPr="008A37EC">
        <w:t xml:space="preserve">enabling effective resettlement on release.  </w:t>
      </w:r>
    </w:p>
    <w:p w14:paraId="6982A924" w14:textId="77777777" w:rsidR="008A37EC" w:rsidRPr="008A37EC" w:rsidRDefault="008A37EC" w:rsidP="00402D02">
      <w:pPr>
        <w:pStyle w:val="SGBodytext"/>
      </w:pPr>
      <w:r w:rsidRPr="008A37EC">
        <w:t xml:space="preserve">However, in a country like Scotland which has a </w:t>
      </w:r>
      <w:r w:rsidR="00E1494A">
        <w:t>significant</w:t>
      </w:r>
      <w:r w:rsidRPr="008A37EC">
        <w:t xml:space="preserve"> number of rural communities, a metropolitan design </w:t>
      </w:r>
      <w:r w:rsidR="001F6460">
        <w:t xml:space="preserve">may not always meet the needs of women </w:t>
      </w:r>
      <w:r w:rsidRPr="008A37EC">
        <w:t xml:space="preserve">from dispersed areas and a different approach may need to be considered for them.  </w:t>
      </w:r>
    </w:p>
    <w:p w14:paraId="549FBF6A" w14:textId="77777777" w:rsidR="008A37EC" w:rsidRPr="008A37EC" w:rsidRDefault="008A37EC" w:rsidP="00246F60">
      <w:pPr>
        <w:pStyle w:val="Heading2blue"/>
        <w:rPr>
          <w:rFonts w:eastAsiaTheme="majorEastAsia"/>
          <w:lang w:eastAsia="en-GB"/>
        </w:rPr>
      </w:pPr>
      <w:bookmarkStart w:id="41" w:name="_Toc429555817"/>
      <w:r w:rsidRPr="008A37EC">
        <w:rPr>
          <w:rFonts w:eastAsiaTheme="majorEastAsia"/>
          <w:lang w:eastAsia="en-GB"/>
        </w:rPr>
        <w:lastRenderedPageBreak/>
        <w:t>Size of prisons</w:t>
      </w:r>
      <w:bookmarkEnd w:id="41"/>
    </w:p>
    <w:p w14:paraId="0F7F3095" w14:textId="77777777" w:rsidR="008A37EC" w:rsidRPr="008A37EC" w:rsidRDefault="00682730" w:rsidP="00402D02">
      <w:pPr>
        <w:pStyle w:val="SGBodytext"/>
      </w:pPr>
      <w:r>
        <w:t>The</w:t>
      </w:r>
      <w:r w:rsidR="008A37EC" w:rsidRPr="008A37EC">
        <w:t xml:space="preserve"> size of prisons varies widely</w:t>
      </w:r>
      <w:r>
        <w:t xml:space="preserve"> between different countries</w:t>
      </w:r>
      <w:r w:rsidR="008A37EC" w:rsidRPr="008A37EC">
        <w:t xml:space="preserve">.  The average size of unit in Western Europe has space for 60 female prisoners.  </w:t>
      </w:r>
      <w:r>
        <w:t>Some</w:t>
      </w:r>
      <w:r w:rsidR="00486A47">
        <w:t xml:space="preserve"> </w:t>
      </w:r>
      <w:r w:rsidR="008A37EC" w:rsidRPr="008A37EC">
        <w:t>countries have a mixture of small units (in some cases housing less than 10 women) and medium size units housing up to 100 women (e.g. Finland).  Other countries, like Denmark and the Netherlands, have similar-sized regional units (both countries have 5 units housing up to 30 and 60 women respectively)</w:t>
      </w:r>
      <w:r w:rsidR="008A37EC" w:rsidRPr="008A37EC">
        <w:rPr>
          <w:vertAlign w:val="superscript"/>
        </w:rPr>
        <w:endnoteReference w:id="130"/>
      </w:r>
      <w:r w:rsidR="008A37EC" w:rsidRPr="008A37EC">
        <w:t xml:space="preserve">. This contrasts greatly with large countries like the USA and Russia which have prisons with capacity for </w:t>
      </w:r>
      <w:r>
        <w:t xml:space="preserve">up to </w:t>
      </w:r>
      <w:r w:rsidR="008A37EC" w:rsidRPr="008A37EC">
        <w:t>2000 women</w:t>
      </w:r>
      <w:r w:rsidR="008A37EC" w:rsidRPr="008A37EC">
        <w:rPr>
          <w:vertAlign w:val="superscript"/>
        </w:rPr>
        <w:endnoteReference w:id="131"/>
      </w:r>
      <w:r w:rsidR="008A37EC" w:rsidRPr="008A37EC">
        <w:t xml:space="preserve">.  </w:t>
      </w:r>
    </w:p>
    <w:p w14:paraId="1D778D43" w14:textId="77777777" w:rsidR="008A37EC" w:rsidRPr="008A37EC" w:rsidRDefault="008A37EC" w:rsidP="00402D02">
      <w:pPr>
        <w:pStyle w:val="SGBodytext"/>
      </w:pPr>
      <w:r w:rsidRPr="008A37EC">
        <w:t xml:space="preserve">The size of prison will depend on a number of factors such as the </w:t>
      </w:r>
      <w:r w:rsidR="002D7877">
        <w:t xml:space="preserve">size and nature of the </w:t>
      </w:r>
      <w:r w:rsidRPr="008A37EC">
        <w:t>female prison population, sentencing practices</w:t>
      </w:r>
      <w:r w:rsidR="00682730">
        <w:t>, arrangements with other service providers (e.g. healthcare)</w:t>
      </w:r>
      <w:r w:rsidRPr="008A37EC">
        <w:t xml:space="preserve"> and the underlying ethos and model (e.g. if one of ‘self care’ then smaller units are favoured).</w:t>
      </w:r>
    </w:p>
    <w:p w14:paraId="0E73019C" w14:textId="77777777" w:rsidR="008A37EC" w:rsidRPr="008A37EC" w:rsidRDefault="008A37EC" w:rsidP="00246F60">
      <w:pPr>
        <w:pStyle w:val="Heading2blue"/>
        <w:rPr>
          <w:rFonts w:eastAsiaTheme="majorEastAsia"/>
          <w:lang w:eastAsia="en-GB"/>
        </w:rPr>
      </w:pPr>
      <w:bookmarkStart w:id="42" w:name="_Toc429555818"/>
      <w:r w:rsidRPr="008A37EC">
        <w:rPr>
          <w:rFonts w:eastAsiaTheme="majorEastAsia"/>
          <w:lang w:eastAsia="en-GB"/>
        </w:rPr>
        <w:t>Prison design</w:t>
      </w:r>
      <w:bookmarkEnd w:id="42"/>
    </w:p>
    <w:p w14:paraId="6D116EF9" w14:textId="77777777" w:rsidR="008A37EC" w:rsidRPr="008A37EC" w:rsidRDefault="008A37EC" w:rsidP="00402D02">
      <w:pPr>
        <w:pStyle w:val="SGBodytext"/>
        <w:rPr>
          <w:color w:val="000000"/>
        </w:rPr>
      </w:pPr>
      <w:r w:rsidRPr="008A37EC">
        <w:t xml:space="preserve">The design of women’s prisons varies from large walled institutions in which prisoners are housed in dormitory style units (USA) to self-contained flats in open prisons (Germany), and </w:t>
      </w:r>
      <w:r w:rsidR="00682730">
        <w:t>campus-style facilities</w:t>
      </w:r>
      <w:r w:rsidRPr="008A37EC">
        <w:t xml:space="preserve"> with communal gardens (Canada, Australia).  An Australian literature review</w:t>
      </w:r>
      <w:r w:rsidRPr="008A37EC">
        <w:rPr>
          <w:vertAlign w:val="superscript"/>
        </w:rPr>
        <w:endnoteReference w:id="132"/>
      </w:r>
      <w:r w:rsidRPr="008A37EC">
        <w:t xml:space="preserve"> listed the following as features of </w:t>
      </w:r>
      <w:r w:rsidRPr="008A37EC">
        <w:rPr>
          <w:color w:val="000000"/>
        </w:rPr>
        <w:t>good architectural practice for women’s prisons (slightly adapted for this report):</w:t>
      </w:r>
    </w:p>
    <w:p w14:paraId="50DB343A" w14:textId="77777777" w:rsidR="008A37EC" w:rsidRPr="000E57F5" w:rsidRDefault="008A37EC" w:rsidP="006F0C6A">
      <w:pPr>
        <w:pStyle w:val="SGBullet"/>
        <w:rPr>
          <w:sz w:val="24"/>
          <w:szCs w:val="24"/>
          <w:lang w:eastAsia="en-GB"/>
        </w:rPr>
      </w:pPr>
      <w:r w:rsidRPr="000E57F5">
        <w:rPr>
          <w:b/>
          <w:sz w:val="24"/>
          <w:szCs w:val="24"/>
          <w:lang w:eastAsia="en-GB"/>
        </w:rPr>
        <w:t>cottage-style accommodation</w:t>
      </w:r>
      <w:r w:rsidRPr="000E57F5">
        <w:rPr>
          <w:b/>
          <w:sz w:val="24"/>
          <w:szCs w:val="24"/>
          <w:vertAlign w:val="superscript"/>
          <w:lang w:eastAsia="en-GB"/>
        </w:rPr>
        <w:footnoteReference w:id="21"/>
      </w:r>
      <w:r w:rsidRPr="000E57F5">
        <w:rPr>
          <w:sz w:val="24"/>
          <w:szCs w:val="24"/>
          <w:lang w:eastAsia="en-GB"/>
        </w:rPr>
        <w:t xml:space="preserve"> that enables women to replicate healthy family and community responsibilities and build pro-social skills (such as group cooking, budgeting and laundry) </w:t>
      </w:r>
    </w:p>
    <w:p w14:paraId="046F72F6" w14:textId="77777777" w:rsidR="008A37EC" w:rsidRPr="000E57F5" w:rsidRDefault="008A37EC" w:rsidP="006F0C6A">
      <w:pPr>
        <w:pStyle w:val="SGBullet"/>
        <w:rPr>
          <w:sz w:val="24"/>
          <w:szCs w:val="24"/>
          <w:lang w:eastAsia="en-GB"/>
        </w:rPr>
      </w:pPr>
      <w:r w:rsidRPr="000E57F5">
        <w:rPr>
          <w:sz w:val="24"/>
          <w:szCs w:val="24"/>
          <w:lang w:eastAsia="en-GB"/>
        </w:rPr>
        <w:t xml:space="preserve">incorporating </w:t>
      </w:r>
      <w:r w:rsidRPr="000E57F5">
        <w:rPr>
          <w:b/>
          <w:sz w:val="24"/>
          <w:szCs w:val="24"/>
          <w:lang w:eastAsia="en-GB"/>
        </w:rPr>
        <w:t>family-friendly design</w:t>
      </w:r>
      <w:r w:rsidRPr="000E57F5">
        <w:rPr>
          <w:sz w:val="24"/>
          <w:szCs w:val="24"/>
          <w:lang w:eastAsia="en-GB"/>
        </w:rPr>
        <w:t xml:space="preserve"> in dedicated ‘mother and child’ units (MCUs), as well as playgrounds and visitors’ centres;</w:t>
      </w:r>
    </w:p>
    <w:p w14:paraId="4299EB55" w14:textId="77777777" w:rsidR="008A37EC" w:rsidRPr="000E57F5" w:rsidRDefault="008A37EC" w:rsidP="006F0C6A">
      <w:pPr>
        <w:pStyle w:val="SGBullet"/>
        <w:rPr>
          <w:sz w:val="24"/>
          <w:szCs w:val="24"/>
          <w:lang w:eastAsia="en-GB"/>
        </w:rPr>
      </w:pPr>
      <w:r w:rsidRPr="000E57F5">
        <w:rPr>
          <w:sz w:val="24"/>
          <w:szCs w:val="24"/>
          <w:lang w:eastAsia="en-GB"/>
        </w:rPr>
        <w:t>there may also be a need to adapt prison design for women from other culturally and linguistically diverse backgrounds;</w:t>
      </w:r>
    </w:p>
    <w:p w14:paraId="25E5FCEA" w14:textId="77777777" w:rsidR="008A37EC" w:rsidRPr="000E57F5" w:rsidRDefault="008A37EC" w:rsidP="006F0C6A">
      <w:pPr>
        <w:pStyle w:val="SGBullet"/>
        <w:rPr>
          <w:sz w:val="24"/>
          <w:szCs w:val="24"/>
          <w:lang w:eastAsia="en-GB"/>
        </w:rPr>
      </w:pPr>
      <w:r w:rsidRPr="000E57F5">
        <w:rPr>
          <w:sz w:val="24"/>
          <w:szCs w:val="24"/>
          <w:lang w:eastAsia="en-GB"/>
        </w:rPr>
        <w:t>incorporating features known to promote wellness, with particular reference to the use of natural light, fresh air, colour, space, privacy and access to land;</w:t>
      </w:r>
    </w:p>
    <w:p w14:paraId="0324591B" w14:textId="77777777" w:rsidR="008A37EC" w:rsidRPr="000E57F5" w:rsidRDefault="008A37EC" w:rsidP="006F0C6A">
      <w:pPr>
        <w:pStyle w:val="SGBullet"/>
        <w:rPr>
          <w:sz w:val="24"/>
          <w:szCs w:val="24"/>
          <w:lang w:eastAsia="en-GB"/>
        </w:rPr>
      </w:pPr>
      <w:r w:rsidRPr="000E57F5">
        <w:rPr>
          <w:sz w:val="24"/>
          <w:szCs w:val="24"/>
          <w:lang w:eastAsia="en-GB"/>
        </w:rPr>
        <w:t>ensuring facilities are adapted/adaptable for women with disabilities; and</w:t>
      </w:r>
    </w:p>
    <w:p w14:paraId="247B07D9" w14:textId="77777777" w:rsidR="008A37EC" w:rsidRPr="000E57F5" w:rsidRDefault="008A37EC" w:rsidP="006F0C6A">
      <w:pPr>
        <w:pStyle w:val="SGBullet"/>
        <w:rPr>
          <w:iCs/>
          <w:sz w:val="24"/>
          <w:szCs w:val="24"/>
          <w:lang w:eastAsia="en-GB"/>
        </w:rPr>
      </w:pPr>
      <w:proofErr w:type="gramStart"/>
      <w:r w:rsidRPr="000E57F5">
        <w:rPr>
          <w:sz w:val="24"/>
          <w:szCs w:val="24"/>
          <w:lang w:eastAsia="en-GB"/>
        </w:rPr>
        <w:t>promoting</w:t>
      </w:r>
      <w:proofErr w:type="gramEnd"/>
      <w:r w:rsidRPr="000E57F5">
        <w:rPr>
          <w:sz w:val="24"/>
          <w:szCs w:val="24"/>
          <w:lang w:eastAsia="en-GB"/>
        </w:rPr>
        <w:t xml:space="preserve"> environmentally sustainable design. </w:t>
      </w:r>
    </w:p>
    <w:p w14:paraId="1EE8DBAA" w14:textId="77777777" w:rsidR="008A37EC" w:rsidRPr="008A37EC" w:rsidRDefault="008A37EC" w:rsidP="00402D02">
      <w:pPr>
        <w:pStyle w:val="SGBodytext"/>
      </w:pPr>
      <w:r w:rsidRPr="008A37EC">
        <w:t xml:space="preserve">A further design-related feature cited in the review was the idea of an </w:t>
      </w:r>
      <w:r w:rsidRPr="008A37EC">
        <w:rPr>
          <w:b/>
        </w:rPr>
        <w:t xml:space="preserve">open environment </w:t>
      </w:r>
      <w:r w:rsidRPr="008A37EC">
        <w:t xml:space="preserve">with building layout designed to encourage group activities and promote pro-social skills, whilst at the same time ensuring the safety of prisoners and staff (see below).  An alternative to the cottage-style accommodation is individual units as seen at Adelaide Women’s Prison in Australia.  Each women has her own </w:t>
      </w:r>
      <w:r w:rsidR="00E1494A">
        <w:t>unit</w:t>
      </w:r>
      <w:r w:rsidRPr="008A37EC">
        <w:t xml:space="preserve"> that contains a kitchen and bathroom</w:t>
      </w:r>
      <w:r w:rsidRPr="008A37EC">
        <w:rPr>
          <w:vertAlign w:val="superscript"/>
        </w:rPr>
        <w:endnoteReference w:id="133"/>
      </w:r>
      <w:r w:rsidRPr="008A37EC">
        <w:t xml:space="preserve">.  </w:t>
      </w:r>
      <w:r w:rsidR="00E11F4F">
        <w:t xml:space="preserve">Although </w:t>
      </w:r>
      <w:r w:rsidR="00486A47">
        <w:t>this enables independent living there is</w:t>
      </w:r>
      <w:r w:rsidRPr="008A37EC">
        <w:t xml:space="preserve"> less of an emphasis on social </w:t>
      </w:r>
      <w:r w:rsidR="00633070">
        <w:t>interrelatedness</w:t>
      </w:r>
      <w:r w:rsidRPr="008A37EC">
        <w:t xml:space="preserve">. </w:t>
      </w:r>
      <w:r w:rsidR="00633070">
        <w:t xml:space="preserve"> </w:t>
      </w:r>
      <w:r w:rsidRPr="008A37EC">
        <w:t>Whilst some women may prefer the privacy this model</w:t>
      </w:r>
      <w:r w:rsidR="00E1494A">
        <w:t xml:space="preserve"> provides</w:t>
      </w:r>
      <w:r w:rsidRPr="008A37EC">
        <w:t xml:space="preserve">, it could perhaps be isolating for others. </w:t>
      </w:r>
    </w:p>
    <w:p w14:paraId="663FCC57" w14:textId="77777777" w:rsidR="008A37EC" w:rsidRPr="008A37EC" w:rsidRDefault="008A37EC" w:rsidP="00246F60">
      <w:pPr>
        <w:pStyle w:val="Heading2blue"/>
        <w:rPr>
          <w:rFonts w:eastAsiaTheme="majorEastAsia"/>
          <w:lang w:eastAsia="en-GB"/>
        </w:rPr>
      </w:pPr>
      <w:bookmarkStart w:id="43" w:name="_Toc429555819"/>
      <w:r w:rsidRPr="008A37EC">
        <w:rPr>
          <w:rFonts w:eastAsiaTheme="majorEastAsia"/>
          <w:lang w:eastAsia="en-GB"/>
        </w:rPr>
        <w:lastRenderedPageBreak/>
        <w:t>Security</w:t>
      </w:r>
      <w:bookmarkEnd w:id="43"/>
    </w:p>
    <w:p w14:paraId="388F1FAA" w14:textId="77777777" w:rsidR="008A37EC" w:rsidRPr="008A37EC" w:rsidRDefault="008A37EC" w:rsidP="00402D02">
      <w:pPr>
        <w:pStyle w:val="SGBodytext"/>
      </w:pPr>
      <w:r w:rsidRPr="008A37EC">
        <w:t>Evidence suggests that women continue to be held in higher levels of security than is needed or warranted</w:t>
      </w:r>
      <w:r w:rsidRPr="008A37EC">
        <w:rPr>
          <w:vertAlign w:val="superscript"/>
        </w:rPr>
        <w:endnoteReference w:id="134"/>
      </w:r>
      <w:r w:rsidRPr="008A37EC">
        <w:t xml:space="preserve">.  A women-centred approach should allow for a gender-specific classification system.  Queensland in Australia, for example, do not classify </w:t>
      </w:r>
      <w:r w:rsidR="00E11F4F">
        <w:t xml:space="preserve">any </w:t>
      </w:r>
      <w:r w:rsidRPr="008A37EC">
        <w:t>women as maximum security</w:t>
      </w:r>
      <w:r w:rsidRPr="008A37EC">
        <w:rPr>
          <w:vertAlign w:val="superscript"/>
        </w:rPr>
        <w:endnoteReference w:id="135"/>
      </w:r>
      <w:r w:rsidRPr="008A37EC">
        <w:t>.  In Scandinavian countries, such as Norway, the principle of normality underlines security classification with the guiding principle being that “offenders shall be placed in the lowest possible security regime”</w:t>
      </w:r>
      <w:r w:rsidRPr="008A37EC">
        <w:rPr>
          <w:vertAlign w:val="superscript"/>
        </w:rPr>
        <w:endnoteReference w:id="136"/>
      </w:r>
      <w:r w:rsidRPr="008A37EC">
        <w:t>.</w:t>
      </w:r>
    </w:p>
    <w:p w14:paraId="65BE9279" w14:textId="77777777" w:rsidR="008A37EC" w:rsidRPr="008A37EC" w:rsidRDefault="008A37EC" w:rsidP="00402D02">
      <w:pPr>
        <w:pStyle w:val="SGBodytext"/>
      </w:pPr>
      <w:r w:rsidRPr="008A37EC">
        <w:t xml:space="preserve">Other security issues raised in the literature are the </w:t>
      </w:r>
      <w:r w:rsidRPr="008A37EC">
        <w:rPr>
          <w:b/>
        </w:rPr>
        <w:t>management of multiple security levels on one site</w:t>
      </w:r>
      <w:r w:rsidRPr="008A37EC">
        <w:t xml:space="preserve"> (as is often the case with </w:t>
      </w:r>
      <w:r w:rsidR="00E1494A">
        <w:t>campus</w:t>
      </w:r>
      <w:r w:rsidRPr="008A37EC">
        <w:t>-style prisons), the appropriateness of c</w:t>
      </w:r>
      <w:r w:rsidR="00E1494A">
        <w:t>ampus</w:t>
      </w:r>
      <w:r w:rsidRPr="008A37EC">
        <w:t>-style prisons for maximum security prisoners (e.g. through the adoption of ‘zones’ within the campus), meeting the needs of remand prisoners (</w:t>
      </w:r>
      <w:r w:rsidR="00E27F02">
        <w:t>e.g. ensuring remand prisoners are not held at higher levels of security than is needed and/or are separated</w:t>
      </w:r>
      <w:r w:rsidRPr="008A37EC">
        <w:t xml:space="preserve"> from sentenced prisoners), and harnessing new technologies (e.g. prisoner tracking systems, body scanning, drug-detection technologies) to manage security effectively in modern (unbarred) prisons.  A fuller discussion of these issues is provided in the Australian Government 2011 Literature Review</w:t>
      </w:r>
      <w:r w:rsidRPr="008A37EC">
        <w:rPr>
          <w:vertAlign w:val="superscript"/>
        </w:rPr>
        <w:endnoteReference w:id="137"/>
      </w:r>
      <w:r w:rsidRPr="008A37EC">
        <w:t xml:space="preserve"> (pp43-50).</w:t>
      </w:r>
    </w:p>
    <w:p w14:paraId="5B06245E" w14:textId="77777777" w:rsidR="008A37EC" w:rsidRPr="008A37EC" w:rsidRDefault="008A37EC" w:rsidP="00246F60">
      <w:pPr>
        <w:pStyle w:val="Heading2blue"/>
        <w:rPr>
          <w:rFonts w:eastAsiaTheme="majorEastAsia"/>
          <w:lang w:eastAsia="en-GB"/>
        </w:rPr>
      </w:pPr>
      <w:bookmarkStart w:id="44" w:name="_Toc429555820"/>
      <w:r w:rsidRPr="008A37EC">
        <w:rPr>
          <w:rFonts w:eastAsiaTheme="majorEastAsia"/>
          <w:lang w:eastAsia="en-GB"/>
        </w:rPr>
        <w:t>Healthcare</w:t>
      </w:r>
      <w:bookmarkEnd w:id="44"/>
    </w:p>
    <w:p w14:paraId="15AE0005" w14:textId="77777777" w:rsidR="008A37EC" w:rsidRPr="008A37EC" w:rsidRDefault="008A37EC" w:rsidP="00402D02">
      <w:pPr>
        <w:pStyle w:val="SGBodytext"/>
      </w:pPr>
      <w:r w:rsidRPr="008A37EC">
        <w:t>All the reports consulted in this review highlight the importance of effective healthcare for women in prisons both during, and, crucially, after their prison sentence.  There is evidence that women not only experience higher rates of mental health and substance abuse problems (often linked to their offending) then men, but that they also are at greater risk of poor health outcomes post-release (e.g. hospitalisation, mortality)</w:t>
      </w:r>
      <w:r w:rsidRPr="008A37EC">
        <w:rPr>
          <w:vertAlign w:val="superscript"/>
        </w:rPr>
        <w:endnoteReference w:id="138"/>
      </w:r>
      <w:r w:rsidRPr="008A37EC">
        <w:t xml:space="preserve">.  </w:t>
      </w:r>
    </w:p>
    <w:p w14:paraId="4F437970" w14:textId="77777777" w:rsidR="008A37EC" w:rsidRPr="008A37EC" w:rsidRDefault="008A37EC" w:rsidP="00402D02">
      <w:pPr>
        <w:pStyle w:val="SGBodytext"/>
      </w:pPr>
      <w:r w:rsidRPr="008A37EC">
        <w:t xml:space="preserve">As noted, </w:t>
      </w:r>
      <w:r w:rsidRPr="00E27F02">
        <w:rPr>
          <w:b/>
        </w:rPr>
        <w:t>a number of countries have recognised the need for dedicated facilities for women with complex psychological issues</w:t>
      </w:r>
      <w:r w:rsidRPr="008A37EC">
        <w:t>.  For example, in Australia, a dedicated facility for women with these type of issues has been established in New South Wales</w:t>
      </w:r>
      <w:r w:rsidRPr="008A37EC">
        <w:rPr>
          <w:vertAlign w:val="superscript"/>
        </w:rPr>
        <w:endnoteReference w:id="139"/>
      </w:r>
      <w:r w:rsidRPr="008A37EC">
        <w:t xml:space="preserve"> for men and women, and one for women only in Victoria.  Similarly, Canada now has two dedicated facilities for women with severe mental health problems.  </w:t>
      </w:r>
    </w:p>
    <w:p w14:paraId="6A968B50" w14:textId="77777777" w:rsidR="008A37EC" w:rsidRPr="008A37EC" w:rsidRDefault="008A37EC" w:rsidP="00402D02">
      <w:pPr>
        <w:pStyle w:val="SGBodytext"/>
      </w:pPr>
      <w:r w:rsidRPr="008A37EC">
        <w:t xml:space="preserve">In mixed prisons, such as in Spain, there may only be one hospital unit which means women prisoners may be cared for in their cells rather than in a hospital bed unless their condition is acute </w:t>
      </w:r>
      <w:r w:rsidR="00E11F4F">
        <w:t>enough to</w:t>
      </w:r>
      <w:r w:rsidRPr="008A37EC">
        <w:t xml:space="preserve"> warrant transfer to a hospital</w:t>
      </w:r>
      <w:r w:rsidRPr="008A37EC">
        <w:rPr>
          <w:vertAlign w:val="superscript"/>
        </w:rPr>
        <w:endnoteReference w:id="140"/>
      </w:r>
      <w:r w:rsidRPr="008A37EC">
        <w:t>.  This has been used as an example of why a gender-specific approach (which would ensure women are treated in an appropriate facility) is so important, perhaps more so than location of prison.</w:t>
      </w:r>
    </w:p>
    <w:p w14:paraId="2C6B5CCC" w14:textId="77777777" w:rsidR="008A37EC" w:rsidRPr="008A37EC" w:rsidRDefault="008A37EC" w:rsidP="00402D02">
      <w:pPr>
        <w:pStyle w:val="SGBodytext"/>
      </w:pPr>
      <w:r w:rsidRPr="008A37EC">
        <w:t>Boronia Pre-release Centre for Women in Australia has been cited as successfully addressing general health issues, including its anti-smoking campaign.  Other areas of best practice highlighted in the literature include:</w:t>
      </w:r>
    </w:p>
    <w:p w14:paraId="2DD3C4B1" w14:textId="77777777" w:rsidR="008A37EC" w:rsidRPr="000E57F5" w:rsidRDefault="008A37EC" w:rsidP="006F0C6A">
      <w:pPr>
        <w:pStyle w:val="SGBullet"/>
        <w:rPr>
          <w:sz w:val="24"/>
          <w:szCs w:val="24"/>
          <w:lang w:eastAsia="en-GB"/>
        </w:rPr>
      </w:pPr>
      <w:r w:rsidRPr="000E57F5">
        <w:rPr>
          <w:sz w:val="24"/>
          <w:szCs w:val="24"/>
          <w:lang w:eastAsia="en-GB"/>
        </w:rPr>
        <w:t xml:space="preserve">The </w:t>
      </w:r>
      <w:r w:rsidRPr="000E57F5">
        <w:rPr>
          <w:i/>
          <w:sz w:val="24"/>
          <w:szCs w:val="24"/>
          <w:lang w:eastAsia="en-GB"/>
        </w:rPr>
        <w:t>Kyiv Declaration on Women’s Health in Prison (UNODC/WHO 2009</w:t>
      </w:r>
      <w:r w:rsidRPr="000E57F5">
        <w:rPr>
          <w:i/>
          <w:sz w:val="24"/>
          <w:szCs w:val="24"/>
          <w:vertAlign w:val="superscript"/>
          <w:lang w:eastAsia="en-GB"/>
        </w:rPr>
        <w:endnoteReference w:id="141"/>
      </w:r>
      <w:r w:rsidRPr="000E57F5">
        <w:rPr>
          <w:i/>
          <w:sz w:val="24"/>
          <w:szCs w:val="24"/>
          <w:lang w:eastAsia="en-GB"/>
        </w:rPr>
        <w:t xml:space="preserve">) </w:t>
      </w:r>
      <w:r w:rsidRPr="000E57F5">
        <w:rPr>
          <w:sz w:val="24"/>
          <w:szCs w:val="24"/>
          <w:lang w:eastAsia="en-GB"/>
        </w:rPr>
        <w:t xml:space="preserve">which sets out principles for the treatment of female prisoners’ health needs </w:t>
      </w:r>
    </w:p>
    <w:p w14:paraId="302D9830" w14:textId="77777777" w:rsidR="008A37EC" w:rsidRPr="000E57F5" w:rsidRDefault="008A37EC" w:rsidP="006F0C6A">
      <w:pPr>
        <w:pStyle w:val="SGBullet"/>
        <w:rPr>
          <w:sz w:val="24"/>
          <w:szCs w:val="24"/>
          <w:lang w:eastAsia="en-GB"/>
        </w:rPr>
      </w:pPr>
      <w:r w:rsidRPr="000E57F5">
        <w:rPr>
          <w:sz w:val="24"/>
          <w:szCs w:val="24"/>
          <w:lang w:eastAsia="en-GB"/>
        </w:rPr>
        <w:t xml:space="preserve">National set of health indicators for female prisoners </w:t>
      </w:r>
    </w:p>
    <w:p w14:paraId="603433C4" w14:textId="77777777" w:rsidR="008A37EC" w:rsidRPr="000E57F5" w:rsidRDefault="008A37EC" w:rsidP="006F0C6A">
      <w:pPr>
        <w:pStyle w:val="SGBullet"/>
        <w:rPr>
          <w:sz w:val="24"/>
          <w:szCs w:val="24"/>
          <w:lang w:eastAsia="en-GB"/>
        </w:rPr>
      </w:pPr>
      <w:r w:rsidRPr="000E57F5">
        <w:rPr>
          <w:sz w:val="24"/>
          <w:szCs w:val="24"/>
          <w:lang w:eastAsia="en-GB"/>
        </w:rPr>
        <w:t>Dedicated facilities for women with complex psychological issues</w:t>
      </w:r>
    </w:p>
    <w:p w14:paraId="4DB2C73C" w14:textId="77777777" w:rsidR="008A37EC" w:rsidRPr="000E57F5" w:rsidRDefault="008A37EC" w:rsidP="006F0C6A">
      <w:pPr>
        <w:pStyle w:val="SGBullet"/>
        <w:rPr>
          <w:sz w:val="24"/>
          <w:szCs w:val="24"/>
          <w:lang w:eastAsia="en-GB"/>
        </w:rPr>
      </w:pPr>
      <w:r w:rsidRPr="000E57F5">
        <w:rPr>
          <w:sz w:val="24"/>
          <w:szCs w:val="24"/>
          <w:lang w:eastAsia="en-GB"/>
        </w:rPr>
        <w:t>Provision of health screening e.g. breast checks and cervical screening</w:t>
      </w:r>
    </w:p>
    <w:p w14:paraId="5E922B40" w14:textId="77777777" w:rsidR="008A37EC" w:rsidRPr="000E57F5" w:rsidRDefault="008A37EC" w:rsidP="006F0C6A">
      <w:pPr>
        <w:pStyle w:val="SGBullet"/>
        <w:rPr>
          <w:sz w:val="24"/>
          <w:szCs w:val="24"/>
          <w:lang w:eastAsia="en-GB"/>
        </w:rPr>
      </w:pPr>
      <w:r w:rsidRPr="000E57F5">
        <w:rPr>
          <w:sz w:val="24"/>
          <w:szCs w:val="24"/>
          <w:lang w:eastAsia="en-GB"/>
        </w:rPr>
        <w:lastRenderedPageBreak/>
        <w:t>Availability of drop-in health services onsite (e.g. GP, dental, optical, mental health nurse, pharmacotherapy, podiatry etc.)</w:t>
      </w:r>
    </w:p>
    <w:p w14:paraId="28922A04" w14:textId="77777777" w:rsidR="008A37EC" w:rsidRPr="000E57F5" w:rsidRDefault="008A37EC" w:rsidP="006F0C6A">
      <w:pPr>
        <w:pStyle w:val="SGBullet"/>
        <w:rPr>
          <w:sz w:val="24"/>
          <w:szCs w:val="24"/>
          <w:lang w:eastAsia="en-GB"/>
        </w:rPr>
      </w:pPr>
      <w:r w:rsidRPr="000E57F5">
        <w:rPr>
          <w:sz w:val="24"/>
          <w:szCs w:val="24"/>
          <w:lang w:eastAsia="en-GB"/>
        </w:rPr>
        <w:t>Health promotion programmes e.g. smoking cessation</w:t>
      </w:r>
    </w:p>
    <w:p w14:paraId="0A62A749" w14:textId="77777777" w:rsidR="008A37EC" w:rsidRPr="000E57F5" w:rsidRDefault="008A37EC" w:rsidP="006F0C6A">
      <w:pPr>
        <w:pStyle w:val="SGBullet"/>
        <w:rPr>
          <w:sz w:val="24"/>
          <w:szCs w:val="24"/>
          <w:lang w:eastAsia="en-GB"/>
        </w:rPr>
      </w:pPr>
      <w:r w:rsidRPr="000E57F5">
        <w:rPr>
          <w:sz w:val="24"/>
          <w:szCs w:val="24"/>
          <w:lang w:eastAsia="en-GB"/>
        </w:rPr>
        <w:t>Transition of healthcare into community on release (including maintaining links during prison sentences)</w:t>
      </w:r>
    </w:p>
    <w:p w14:paraId="05B8481B" w14:textId="77777777" w:rsidR="008A37EC" w:rsidRPr="000E57F5" w:rsidRDefault="008A37EC" w:rsidP="006F0C6A">
      <w:pPr>
        <w:pStyle w:val="SGBullet"/>
        <w:rPr>
          <w:sz w:val="24"/>
          <w:szCs w:val="24"/>
          <w:lang w:eastAsia="en-GB"/>
        </w:rPr>
      </w:pPr>
      <w:r w:rsidRPr="000E57F5">
        <w:rPr>
          <w:sz w:val="24"/>
          <w:szCs w:val="24"/>
          <w:lang w:eastAsia="en-GB"/>
        </w:rPr>
        <w:t>Measures that address health needs of specific groups e.g. older women, immigrants, indigenous people</w:t>
      </w:r>
    </w:p>
    <w:p w14:paraId="09B2EA36" w14:textId="77777777" w:rsidR="008A37EC" w:rsidRPr="00A9670B" w:rsidRDefault="008A37EC" w:rsidP="00402D02">
      <w:pPr>
        <w:pStyle w:val="SGBodytext"/>
      </w:pPr>
      <w:r w:rsidRPr="00A9670B">
        <w:tab/>
      </w:r>
      <w:r w:rsidRPr="00A9670B">
        <w:tab/>
      </w:r>
      <w:r w:rsidRPr="00A9670B">
        <w:tab/>
      </w:r>
      <w:r w:rsidRPr="00A9670B">
        <w:tab/>
        <w:t xml:space="preserve">                  (adapted from Bartels &amp; Gaffney, 2011</w:t>
      </w:r>
      <w:r w:rsidRPr="00A9670B">
        <w:rPr>
          <w:vertAlign w:val="superscript"/>
        </w:rPr>
        <w:endnoteReference w:id="142"/>
      </w:r>
      <w:r w:rsidRPr="00A9670B">
        <w:t xml:space="preserve"> p57)</w:t>
      </w:r>
    </w:p>
    <w:p w14:paraId="2FCFC826" w14:textId="77777777" w:rsidR="008A37EC" w:rsidRPr="008A37EC" w:rsidRDefault="008A37EC" w:rsidP="00402D02">
      <w:pPr>
        <w:pStyle w:val="SGBodytext"/>
      </w:pPr>
      <w:r w:rsidRPr="008A37EC">
        <w:t>A fuller discussion of best practice relating to women prisoners’ physical and mental health needs is provided in the Australian Government 2011 Literature Review</w:t>
      </w:r>
      <w:r w:rsidRPr="008A37EC">
        <w:rPr>
          <w:vertAlign w:val="superscript"/>
        </w:rPr>
        <w:endnoteReference w:id="143"/>
      </w:r>
      <w:r w:rsidR="00E11F4F">
        <w:t xml:space="preserve"> (pp51-59)</w:t>
      </w:r>
      <w:r w:rsidRPr="008A37EC">
        <w:t xml:space="preserve">. </w:t>
      </w:r>
    </w:p>
    <w:p w14:paraId="513E2BED" w14:textId="77777777" w:rsidR="008A37EC" w:rsidRPr="008A37EC" w:rsidRDefault="008A37EC" w:rsidP="00246F60">
      <w:pPr>
        <w:pStyle w:val="Heading2blue"/>
        <w:rPr>
          <w:lang w:eastAsia="en-GB"/>
        </w:rPr>
      </w:pPr>
      <w:bookmarkStart w:id="46" w:name="_Toc429555821"/>
      <w:r w:rsidRPr="008A37EC">
        <w:rPr>
          <w:rFonts w:eastAsiaTheme="majorEastAsia"/>
          <w:lang w:eastAsia="en-GB"/>
        </w:rPr>
        <w:t>Financial costs</w:t>
      </w:r>
      <w:bookmarkEnd w:id="46"/>
    </w:p>
    <w:p w14:paraId="5927FFEF" w14:textId="77777777" w:rsidR="008A37EC" w:rsidRPr="008A37EC" w:rsidRDefault="008A37EC" w:rsidP="00402D02">
      <w:pPr>
        <w:pStyle w:val="SGBodytext"/>
      </w:pPr>
      <w:r w:rsidRPr="008A37EC">
        <w:t>Information about costs, when sought in reviews, has proved hard to access and/or interpret.  The 2008 ICPS review</w:t>
      </w:r>
      <w:r w:rsidRPr="008A37EC">
        <w:rPr>
          <w:vertAlign w:val="superscript"/>
        </w:rPr>
        <w:endnoteReference w:id="144"/>
      </w:r>
      <w:r w:rsidRPr="008A37EC">
        <w:t xml:space="preserve"> discusses the cost of small special</w:t>
      </w:r>
      <w:r w:rsidR="00CC1C47">
        <w:t>ised</w:t>
      </w:r>
      <w:r w:rsidRPr="008A37EC">
        <w:t xml:space="preserve"> units for women as likely to be more expensive, but states that this needs to be balanced against the long-term financial savings from reduced reoffending (if indeed, it achieves that aim).  A smaller prison population also means that more resources can be spent on prisoners’ rehabilitation; this is what is typically seen in Scandinavian countries.</w:t>
      </w:r>
    </w:p>
    <w:p w14:paraId="6E924FAF" w14:textId="77777777" w:rsidR="008A37EC" w:rsidRPr="008A37EC" w:rsidRDefault="008A37EC" w:rsidP="00246F60">
      <w:pPr>
        <w:pStyle w:val="Heading2blue"/>
        <w:rPr>
          <w:rFonts w:eastAsiaTheme="majorEastAsia"/>
          <w:lang w:eastAsia="en-GB"/>
        </w:rPr>
      </w:pPr>
      <w:bookmarkStart w:id="47" w:name="_Toc429555822"/>
      <w:r w:rsidRPr="008A37EC">
        <w:rPr>
          <w:rFonts w:eastAsiaTheme="majorEastAsia"/>
          <w:lang w:eastAsia="en-GB"/>
        </w:rPr>
        <w:t>Regimes and reforms</w:t>
      </w:r>
      <w:bookmarkEnd w:id="47"/>
    </w:p>
    <w:p w14:paraId="7E07E0EF" w14:textId="77777777" w:rsidR="008A37EC" w:rsidRPr="008A37EC" w:rsidRDefault="008A37EC" w:rsidP="00402D02">
      <w:pPr>
        <w:pStyle w:val="SGBodytext"/>
      </w:pPr>
      <w:r w:rsidRPr="008A37EC">
        <w:t xml:space="preserve">Where regime change has taken place (e.g. in Canada and Australia) the move </w:t>
      </w:r>
      <w:r w:rsidR="001006C8">
        <w:t>tends to be</w:t>
      </w:r>
      <w:r w:rsidRPr="008A37EC">
        <w:t xml:space="preserve"> towards </w:t>
      </w:r>
      <w:r w:rsidR="001006C8">
        <w:t>local</w:t>
      </w:r>
      <w:r w:rsidRPr="008A37EC">
        <w:t>isation and a ‘self-care’</w:t>
      </w:r>
      <w:r w:rsidR="00E11F4F">
        <w:t xml:space="preserve"> or ‘self-management’</w:t>
      </w:r>
      <w:r w:rsidRPr="008A37EC">
        <w:t xml:space="preserve"> approach.  In some countries, like Denmark, and other Scandinavian countries, the principle of ‘normality’ has been a fundamental part of the system for years.  The ICPS 2008</w:t>
      </w:r>
      <w:r w:rsidRPr="008A37EC">
        <w:rPr>
          <w:vertAlign w:val="superscript"/>
        </w:rPr>
        <w:endnoteReference w:id="145"/>
      </w:r>
      <w:r w:rsidRPr="008A37EC">
        <w:t xml:space="preserve"> review identifies the following features </w:t>
      </w:r>
      <w:r w:rsidR="00E11F4F">
        <w:t xml:space="preserve">as crucial for effective </w:t>
      </w:r>
      <w:r w:rsidRPr="008A37EC">
        <w:t>prison reform:</w:t>
      </w:r>
    </w:p>
    <w:p w14:paraId="0F4D347A" w14:textId="77777777" w:rsidR="008A37EC" w:rsidRPr="000E57F5" w:rsidRDefault="008A37EC" w:rsidP="006F0C6A">
      <w:pPr>
        <w:pStyle w:val="SGBullet"/>
        <w:rPr>
          <w:sz w:val="24"/>
          <w:szCs w:val="24"/>
          <w:lang w:eastAsia="en-GB"/>
        </w:rPr>
      </w:pPr>
      <w:r w:rsidRPr="000E57F5">
        <w:rPr>
          <w:sz w:val="24"/>
          <w:szCs w:val="24"/>
          <w:lang w:eastAsia="en-GB"/>
        </w:rPr>
        <w:t>Different assessment and classification methods for women</w:t>
      </w:r>
    </w:p>
    <w:p w14:paraId="1FE2E558" w14:textId="77777777" w:rsidR="008A37EC" w:rsidRPr="000E57F5" w:rsidRDefault="008A37EC" w:rsidP="006F0C6A">
      <w:pPr>
        <w:pStyle w:val="SGBullet"/>
        <w:rPr>
          <w:sz w:val="24"/>
          <w:szCs w:val="24"/>
          <w:lang w:eastAsia="en-GB"/>
        </w:rPr>
      </w:pPr>
      <w:r w:rsidRPr="000E57F5">
        <w:rPr>
          <w:sz w:val="24"/>
          <w:szCs w:val="24"/>
          <w:lang w:eastAsia="en-GB"/>
        </w:rPr>
        <w:t>Healthcare is a high priority and central part of provision</w:t>
      </w:r>
    </w:p>
    <w:p w14:paraId="5E851D36" w14:textId="77777777" w:rsidR="0098354B" w:rsidRPr="000E57F5" w:rsidRDefault="00E27F02" w:rsidP="006F0C6A">
      <w:pPr>
        <w:pStyle w:val="SGBullet"/>
        <w:rPr>
          <w:rFonts w:eastAsiaTheme="majorEastAsia"/>
          <w:b/>
          <w:color w:val="064367"/>
          <w:sz w:val="24"/>
          <w:szCs w:val="24"/>
        </w:rPr>
      </w:pPr>
      <w:r w:rsidRPr="000E57F5">
        <w:rPr>
          <w:sz w:val="24"/>
          <w:szCs w:val="24"/>
          <w:lang w:eastAsia="en-GB"/>
        </w:rPr>
        <w:t>Gender-specific training</w:t>
      </w:r>
      <w:r w:rsidR="001006C8" w:rsidRPr="000E57F5">
        <w:rPr>
          <w:sz w:val="24"/>
          <w:szCs w:val="24"/>
          <w:lang w:eastAsia="en-GB"/>
        </w:rPr>
        <w:t>.</w:t>
      </w:r>
    </w:p>
    <w:p w14:paraId="33BE7BF5" w14:textId="77777777" w:rsidR="008A37EC" w:rsidRPr="008A37EC" w:rsidRDefault="008A37EC" w:rsidP="00246F60">
      <w:pPr>
        <w:pStyle w:val="Heading2blue"/>
        <w:rPr>
          <w:rFonts w:eastAsiaTheme="majorEastAsia"/>
        </w:rPr>
      </w:pPr>
      <w:bookmarkStart w:id="48" w:name="_Toc429555823"/>
      <w:r w:rsidRPr="008A37EC">
        <w:rPr>
          <w:rFonts w:eastAsiaTheme="majorEastAsia"/>
        </w:rPr>
        <w:t>Performance management</w:t>
      </w:r>
      <w:bookmarkEnd w:id="48"/>
    </w:p>
    <w:p w14:paraId="2DA62997" w14:textId="77777777" w:rsidR="008A37EC" w:rsidRPr="008A37EC" w:rsidRDefault="008A37EC" w:rsidP="00402D02">
      <w:pPr>
        <w:pStyle w:val="SGBodytext"/>
      </w:pPr>
      <w:r w:rsidRPr="008A37EC">
        <w:t xml:space="preserve">The introduction </w:t>
      </w:r>
      <w:r w:rsidR="00E27F02">
        <w:t xml:space="preserve">to this review </w:t>
      </w:r>
      <w:r w:rsidRPr="008A37EC">
        <w:t>lists some of the principles of best practice for female institutions which prisons may measure their performance against.  Alison Liebling</w:t>
      </w:r>
      <w:r w:rsidR="00EE636D">
        <w:t xml:space="preserve"> </w:t>
      </w:r>
      <w:r w:rsidRPr="008A37EC">
        <w:t>identified additional (non-gender specific) dimensions which are concerned with the quality of prison life or ‘</w:t>
      </w:r>
      <w:r w:rsidRPr="008A37EC">
        <w:rPr>
          <w:b/>
        </w:rPr>
        <w:t>moral performance’</w:t>
      </w:r>
      <w:r w:rsidRPr="008A37EC">
        <w:t xml:space="preserve"> of prisons.  These included the quality of prisoner-staff relationships, the extent to which prisoners are treated with humanity and respect, levels of safety and order, and opportunities for personal development</w:t>
      </w:r>
      <w:r w:rsidRPr="008A37EC">
        <w:rPr>
          <w:vertAlign w:val="superscript"/>
        </w:rPr>
        <w:endnoteReference w:id="146"/>
      </w:r>
      <w:r w:rsidRPr="008A37EC">
        <w:t xml:space="preserve">. </w:t>
      </w:r>
    </w:p>
    <w:p w14:paraId="5A96598D" w14:textId="77777777" w:rsidR="0010452C" w:rsidRDefault="0010452C" w:rsidP="00402D02">
      <w:pPr>
        <w:pStyle w:val="SGBodytext"/>
      </w:pPr>
      <w:r w:rsidRPr="005A3E46">
        <w:t xml:space="preserve">In England, HM Inspectorate for Prisons developed a women-specific set of </w:t>
      </w:r>
      <w:r>
        <w:t xml:space="preserve">criteria (or ‘women’s expectations’) in 2014 </w:t>
      </w:r>
      <w:r w:rsidRPr="005A3E46">
        <w:t>which prisons will be inspected against</w:t>
      </w:r>
      <w:r w:rsidRPr="009049E1">
        <w:rPr>
          <w:rStyle w:val="EndnoteReference"/>
        </w:rPr>
        <w:endnoteReference w:id="147"/>
      </w:r>
      <w:r w:rsidRPr="005A3E46">
        <w:t>.</w:t>
      </w:r>
      <w:r>
        <w:t xml:space="preserve">  These focus on safety, respect, purposeful activity, resettlement and specialist units (e.g. for women with personality disorders).</w:t>
      </w:r>
    </w:p>
    <w:p w14:paraId="54F64BF1" w14:textId="77777777" w:rsidR="008A37EC" w:rsidRPr="005A3E46" w:rsidRDefault="008A37EC" w:rsidP="00402D02">
      <w:pPr>
        <w:pStyle w:val="SGBodytext"/>
        <w:rPr>
          <w:color w:val="FF0000"/>
        </w:rPr>
      </w:pPr>
      <w:r w:rsidRPr="008A37EC">
        <w:lastRenderedPageBreak/>
        <w:t xml:space="preserve">New </w:t>
      </w:r>
      <w:r w:rsidRPr="008A37EC">
        <w:rPr>
          <w:b/>
        </w:rPr>
        <w:t>inspection standards</w:t>
      </w:r>
      <w:r w:rsidRPr="008A37EC">
        <w:t xml:space="preserve"> for</w:t>
      </w:r>
      <w:r w:rsidR="00120D2A">
        <w:t xml:space="preserve"> inspecting and monitoring </w:t>
      </w:r>
      <w:r w:rsidRPr="008A37EC">
        <w:t xml:space="preserve">prisons in Scotland </w:t>
      </w:r>
      <w:r w:rsidR="00120D2A">
        <w:t>(HMIPS, 2015</w:t>
      </w:r>
      <w:r w:rsidR="00120D2A">
        <w:rPr>
          <w:rStyle w:val="EndnoteReference"/>
        </w:rPr>
        <w:endnoteReference w:id="148"/>
      </w:r>
      <w:r w:rsidR="00120D2A">
        <w:t xml:space="preserve">) </w:t>
      </w:r>
      <w:r w:rsidRPr="008A37EC">
        <w:t>emphasise the importance of reintegration, and, specifically, on maintaining positive family links and</w:t>
      </w:r>
      <w:r w:rsidR="00C03604">
        <w:t xml:space="preserve"> the active participation of prisoners in prison life</w:t>
      </w:r>
      <w:r w:rsidRPr="008A37EC">
        <w:t>.</w:t>
      </w:r>
      <w:r w:rsidR="005A3E46">
        <w:t xml:space="preserve"> </w:t>
      </w:r>
    </w:p>
    <w:p w14:paraId="07CC2E9A" w14:textId="77777777" w:rsidR="008A37EC" w:rsidRPr="008A37EC" w:rsidRDefault="008A37EC" w:rsidP="00246F60">
      <w:pPr>
        <w:pStyle w:val="Heading2blue"/>
        <w:rPr>
          <w:rFonts w:eastAsiaTheme="majorEastAsia"/>
          <w:lang w:eastAsia="en-GB"/>
        </w:rPr>
      </w:pPr>
      <w:bookmarkStart w:id="49" w:name="_Toc429555824"/>
      <w:r w:rsidRPr="008A37EC">
        <w:rPr>
          <w:rFonts w:eastAsiaTheme="majorEastAsia"/>
          <w:lang w:eastAsia="en-GB"/>
        </w:rPr>
        <w:t>Reintegration into the community</w:t>
      </w:r>
      <w:bookmarkEnd w:id="49"/>
    </w:p>
    <w:p w14:paraId="3F247973" w14:textId="77777777" w:rsidR="008A37EC" w:rsidRPr="008A37EC" w:rsidRDefault="008A37EC" w:rsidP="00402D02">
      <w:pPr>
        <w:pStyle w:val="SGBodytext"/>
      </w:pPr>
      <w:r w:rsidRPr="008A37EC">
        <w:t>Much has been written about</w:t>
      </w:r>
      <w:r w:rsidR="00457DA9">
        <w:t xml:space="preserve"> reintegration or ‘</w:t>
      </w:r>
      <w:r w:rsidRPr="008A37EC">
        <w:t>throughcare</w:t>
      </w:r>
      <w:r w:rsidR="00457DA9">
        <w:t>’</w:t>
      </w:r>
      <w:r w:rsidRPr="008A37EC">
        <w:t xml:space="preserve"> which is out-with the scope of this review.  However, as we have seen with the Scandinavian </w:t>
      </w:r>
      <w:r w:rsidR="00457DA9">
        <w:t xml:space="preserve">approach of </w:t>
      </w:r>
      <w:r w:rsidRPr="008A37EC">
        <w:t>continuous resettlement, the location of prisons has a bearing on how accessible they are to a prisoners’ local community</w:t>
      </w:r>
      <w:r w:rsidR="00E11F4F">
        <w:t>,</w:t>
      </w:r>
      <w:r w:rsidR="00EE636D">
        <w:t xml:space="preserve"> </w:t>
      </w:r>
      <w:r w:rsidRPr="008A37EC">
        <w:t>rehabilitative services and wider opportunities.  Similarly, an ethos of normalisation would dictate that purposeful activity (e.g. work, education) whilst serving a custodial sentence is crucial to a prisoner’s rehabilitation</w:t>
      </w:r>
      <w:r w:rsidR="00465088">
        <w:t>.</w:t>
      </w:r>
      <w:r w:rsidRPr="008A37EC">
        <w:t xml:space="preserve"> </w:t>
      </w:r>
      <w:r w:rsidR="00465088">
        <w:t xml:space="preserve"> A</w:t>
      </w:r>
      <w:r w:rsidRPr="008A37EC">
        <w:t>gain, location and travel would need to be considered to facilitate this.</w:t>
      </w:r>
    </w:p>
    <w:p w14:paraId="755410C2" w14:textId="77777777" w:rsidR="00E11F4F" w:rsidRDefault="008A37EC" w:rsidP="00402D02">
      <w:pPr>
        <w:pStyle w:val="SGBodytext"/>
      </w:pPr>
      <w:r w:rsidRPr="008A37EC">
        <w:t>Some commentators argue that more resource should be put into community reintegration at the start of a sentence, rather than towards the end (e.g. moving to a halfway house).  A recent survey undertaken by the Confederation of European Probation</w:t>
      </w:r>
      <w:r w:rsidRPr="008A37EC">
        <w:rPr>
          <w:vertAlign w:val="superscript"/>
        </w:rPr>
        <w:endnoteReference w:id="149"/>
      </w:r>
      <w:r w:rsidRPr="008A37EC">
        <w:t xml:space="preserve"> (CEP) of its members stated that </w:t>
      </w:r>
    </w:p>
    <w:p w14:paraId="3513D677" w14:textId="77777777" w:rsidR="008A37EC" w:rsidRPr="008A37EC" w:rsidRDefault="008A37EC" w:rsidP="00EB29FB">
      <w:pPr>
        <w:pStyle w:val="SGBodyIndent"/>
      </w:pPr>
      <w:r w:rsidRPr="00EB29FB">
        <w:rPr>
          <w:sz w:val="24"/>
          <w:szCs w:val="24"/>
        </w:rPr>
        <w:t>“</w:t>
      </w:r>
      <w:proofErr w:type="gramStart"/>
      <w:r w:rsidRPr="00EB29FB">
        <w:rPr>
          <w:sz w:val="24"/>
          <w:szCs w:val="24"/>
        </w:rPr>
        <w:t>prisons</w:t>
      </w:r>
      <w:proofErr w:type="gramEnd"/>
      <w:r w:rsidRPr="00EB29FB">
        <w:rPr>
          <w:sz w:val="24"/>
          <w:szCs w:val="24"/>
        </w:rPr>
        <w:t xml:space="preserve"> tend to open up to community more towards the end of the sentence.  Maybe if similar mechanisms could be in place from the first prison day many unintended and destructive effect of imprisonment could be avoided”</w:t>
      </w:r>
      <w:r w:rsidRPr="00EB29FB">
        <w:rPr>
          <w:sz w:val="24"/>
          <w:szCs w:val="24"/>
          <w:vertAlign w:val="superscript"/>
        </w:rPr>
        <w:endnoteReference w:id="150"/>
      </w:r>
      <w:r w:rsidRPr="00EB29FB">
        <w:rPr>
          <w:sz w:val="24"/>
          <w:szCs w:val="24"/>
        </w:rPr>
        <w:t>.</w:t>
      </w:r>
      <w:r w:rsidRPr="008A37EC">
        <w:t xml:space="preserve">  </w:t>
      </w:r>
    </w:p>
    <w:p w14:paraId="551773F6" w14:textId="77777777" w:rsidR="008A37EC" w:rsidRPr="008A37EC" w:rsidRDefault="008A37EC" w:rsidP="00246F60">
      <w:pPr>
        <w:pStyle w:val="Heading2blue"/>
        <w:rPr>
          <w:rFonts w:eastAsiaTheme="majorEastAsia"/>
        </w:rPr>
      </w:pPr>
      <w:bookmarkStart w:id="50" w:name="_Toc429555825"/>
      <w:r w:rsidRPr="008A37EC">
        <w:rPr>
          <w:rFonts w:eastAsiaTheme="majorEastAsia"/>
        </w:rPr>
        <w:t>Sentencing practice and alternatives to custody</w:t>
      </w:r>
      <w:bookmarkEnd w:id="50"/>
      <w:r w:rsidRPr="008A37EC">
        <w:rPr>
          <w:rFonts w:eastAsiaTheme="majorEastAsia"/>
        </w:rPr>
        <w:t xml:space="preserve"> </w:t>
      </w:r>
    </w:p>
    <w:p w14:paraId="7FC8914F" w14:textId="39F41511" w:rsidR="008A37EC" w:rsidRPr="008A37EC" w:rsidRDefault="008A37EC" w:rsidP="00402D02">
      <w:pPr>
        <w:pStyle w:val="SGBodytext"/>
      </w:pPr>
      <w:r w:rsidRPr="008A37EC">
        <w:t xml:space="preserve">It appears that what works in countries where the female prison population and recidivism is low is not only a progressive approach to imprisonment and rehabilitation, but also </w:t>
      </w:r>
      <w:r w:rsidR="002D7877">
        <w:t xml:space="preserve">different </w:t>
      </w:r>
      <w:r w:rsidRPr="008A37EC">
        <w:t>sentencing options and practices.  For example, the reduction</w:t>
      </w:r>
      <w:r w:rsidR="00465088">
        <w:t>s</w:t>
      </w:r>
      <w:r w:rsidRPr="008A37EC">
        <w:t xml:space="preserve"> in </w:t>
      </w:r>
      <w:r w:rsidR="00465088" w:rsidRPr="008A37EC">
        <w:t>prison population</w:t>
      </w:r>
      <w:r w:rsidR="00465088">
        <w:t>s in</w:t>
      </w:r>
      <w:r w:rsidR="00465088" w:rsidRPr="008A37EC">
        <w:t xml:space="preserve"> </w:t>
      </w:r>
      <w:r w:rsidRPr="008A37EC">
        <w:t xml:space="preserve">Finland </w:t>
      </w:r>
      <w:r w:rsidR="00465088">
        <w:t xml:space="preserve">and Sweden </w:t>
      </w:r>
      <w:r w:rsidRPr="008A37EC">
        <w:t xml:space="preserve">(see earlier) </w:t>
      </w:r>
      <w:r w:rsidR="00402D02">
        <w:t>were</w:t>
      </w:r>
      <w:r w:rsidRPr="008A37EC">
        <w:t xml:space="preserve"> </w:t>
      </w:r>
      <w:r w:rsidR="00E86A4B">
        <w:t xml:space="preserve">driven </w:t>
      </w:r>
      <w:r w:rsidR="00465088">
        <w:t xml:space="preserve">largely </w:t>
      </w:r>
      <w:r w:rsidR="00E86A4B">
        <w:t>by</w:t>
      </w:r>
      <w:r w:rsidRPr="008A37EC">
        <w:t xml:space="preserve"> </w:t>
      </w:r>
      <w:r w:rsidRPr="008A37EC">
        <w:rPr>
          <w:b/>
        </w:rPr>
        <w:t>changes in sentencing</w:t>
      </w:r>
      <w:r w:rsidRPr="008A37EC">
        <w:t>.  As one recent study (2014) of the views of the judiciary on women’s centres in England, states:</w:t>
      </w:r>
    </w:p>
    <w:p w14:paraId="4C7B87F2" w14:textId="77777777" w:rsidR="008A37EC" w:rsidRPr="00D17C56" w:rsidRDefault="008A37EC" w:rsidP="00D17C56">
      <w:pPr>
        <w:pStyle w:val="SGBodyIndent"/>
        <w:rPr>
          <w:sz w:val="24"/>
          <w:szCs w:val="24"/>
        </w:rPr>
      </w:pPr>
      <w:r w:rsidRPr="00D17C56">
        <w:rPr>
          <w:sz w:val="24"/>
          <w:szCs w:val="24"/>
        </w:rPr>
        <w:t xml:space="preserve">“Any attempt to reduce the number of short custodial sentences being imposed on women each year must be informed by an understanding of how </w:t>
      </w:r>
      <w:proofErr w:type="spellStart"/>
      <w:r w:rsidRPr="00D17C56">
        <w:rPr>
          <w:sz w:val="24"/>
          <w:szCs w:val="24"/>
        </w:rPr>
        <w:t>sentencers</w:t>
      </w:r>
      <w:proofErr w:type="spellEnd"/>
      <w:r w:rsidRPr="00D17C56">
        <w:rPr>
          <w:sz w:val="24"/>
          <w:szCs w:val="24"/>
        </w:rPr>
        <w:t xml:space="preserve"> make sentencing decisions”.</w:t>
      </w:r>
      <w:r w:rsidRPr="00D17C56">
        <w:rPr>
          <w:sz w:val="24"/>
          <w:szCs w:val="24"/>
          <w:vertAlign w:val="superscript"/>
        </w:rPr>
        <w:endnoteReference w:id="151"/>
      </w:r>
      <w:r w:rsidRPr="00D17C56">
        <w:rPr>
          <w:sz w:val="24"/>
          <w:szCs w:val="24"/>
        </w:rPr>
        <w:t xml:space="preserve">  </w:t>
      </w:r>
    </w:p>
    <w:p w14:paraId="3A1B3FAF" w14:textId="77777777" w:rsidR="008A37EC" w:rsidRPr="008A37EC" w:rsidRDefault="008E4A38" w:rsidP="00402D02">
      <w:pPr>
        <w:pStyle w:val="SGBodytext"/>
      </w:pPr>
      <w:r>
        <w:t>It is sometimes assumed</w:t>
      </w:r>
      <w:r w:rsidR="008A37EC" w:rsidRPr="008A37EC">
        <w:t xml:space="preserve"> that if more effective community alternatives were available to sentencers that judges would choose these over custody, and in the same vein that one of the reasons why short custodial sentences are used is because of the absence ofviable community alternative</w:t>
      </w:r>
      <w:r w:rsidR="00465088">
        <w:t>s</w:t>
      </w:r>
      <w:r w:rsidR="008A37EC" w:rsidRPr="008A37EC">
        <w:t xml:space="preserve">.  This argument, however, is </w:t>
      </w:r>
      <w:r w:rsidR="004F20EC">
        <w:t xml:space="preserve">perhaps </w:t>
      </w:r>
      <w:r w:rsidR="008A37EC" w:rsidRPr="008A37EC">
        <w:t>too simplistic and does not reflect the full range of judicial decision making processes.</w:t>
      </w:r>
    </w:p>
    <w:p w14:paraId="4266DE36" w14:textId="77777777" w:rsidR="008A37EC" w:rsidRPr="008A37EC" w:rsidRDefault="008A37EC" w:rsidP="00402D02">
      <w:pPr>
        <w:pStyle w:val="SGBodytext"/>
      </w:pPr>
      <w:r w:rsidRPr="008A37EC">
        <w:t>Whilst it is not within the scope of this report to investigate sentencing practices in relation to women offenders, the noted study of UK judiciary views</w:t>
      </w:r>
      <w:r w:rsidRPr="008A37EC">
        <w:rPr>
          <w:vertAlign w:val="superscript"/>
        </w:rPr>
        <w:endnoteReference w:id="152"/>
      </w:r>
      <w:r w:rsidRPr="008A37EC">
        <w:t xml:space="preserve"> (n=20) on the Together Women service (a cluster of five women’s centres in the north of England)</w:t>
      </w:r>
      <w:r w:rsidRPr="008A37EC">
        <w:rPr>
          <w:vertAlign w:val="superscript"/>
        </w:rPr>
        <w:t xml:space="preserve"> </w:t>
      </w:r>
      <w:r w:rsidRPr="008A37EC">
        <w:t xml:space="preserve">draws out some interesting findings which </w:t>
      </w:r>
      <w:r w:rsidR="004F20EC">
        <w:t>chimes with other related evidence</w:t>
      </w:r>
      <w:r w:rsidRPr="008A37EC">
        <w:t>:</w:t>
      </w:r>
    </w:p>
    <w:p w14:paraId="7F679BF3" w14:textId="77777777" w:rsidR="008A37EC" w:rsidRPr="000E57F5" w:rsidRDefault="008A37EC" w:rsidP="006F0C6A">
      <w:pPr>
        <w:pStyle w:val="SGBullet"/>
        <w:rPr>
          <w:sz w:val="24"/>
          <w:szCs w:val="24"/>
        </w:rPr>
      </w:pPr>
      <w:r w:rsidRPr="000E57F5">
        <w:rPr>
          <w:sz w:val="24"/>
          <w:szCs w:val="24"/>
        </w:rPr>
        <w:t xml:space="preserve">Consistent with other studies, “the decision to use custody was an active and deliberate </w:t>
      </w:r>
      <w:r w:rsidRPr="000E57F5">
        <w:rPr>
          <w:b/>
          <w:sz w:val="24"/>
          <w:szCs w:val="24"/>
        </w:rPr>
        <w:t>response to the offender</w:t>
      </w:r>
      <w:r w:rsidRPr="000E57F5">
        <w:rPr>
          <w:sz w:val="24"/>
          <w:szCs w:val="24"/>
        </w:rPr>
        <w:t xml:space="preserve"> rather than reflecting a lack of satisfactory or appropriate community options”.</w:t>
      </w:r>
      <w:r w:rsidRPr="000E57F5">
        <w:rPr>
          <w:sz w:val="24"/>
          <w:szCs w:val="24"/>
          <w:vertAlign w:val="superscript"/>
        </w:rPr>
        <w:t xml:space="preserve"> </w:t>
      </w:r>
      <w:r w:rsidRPr="000E57F5">
        <w:rPr>
          <w:sz w:val="24"/>
          <w:szCs w:val="24"/>
          <w:vertAlign w:val="superscript"/>
        </w:rPr>
        <w:endnoteReference w:id="153"/>
      </w:r>
      <w:r w:rsidRPr="000E57F5">
        <w:rPr>
          <w:sz w:val="24"/>
          <w:szCs w:val="24"/>
        </w:rPr>
        <w:t xml:space="preserve">  Having said that, one Northern Irish study</w:t>
      </w:r>
      <w:r w:rsidRPr="000E57F5">
        <w:rPr>
          <w:sz w:val="24"/>
          <w:szCs w:val="24"/>
          <w:vertAlign w:val="superscript"/>
        </w:rPr>
        <w:endnoteReference w:id="154"/>
      </w:r>
      <w:r w:rsidRPr="000E57F5">
        <w:rPr>
          <w:sz w:val="24"/>
          <w:szCs w:val="24"/>
        </w:rPr>
        <w:t xml:space="preserve"> on </w:t>
      </w:r>
      <w:r w:rsidRPr="000E57F5">
        <w:rPr>
          <w:sz w:val="24"/>
          <w:szCs w:val="24"/>
        </w:rPr>
        <w:lastRenderedPageBreak/>
        <w:t>community sentences reported that the lack of available and appropriate provision (</w:t>
      </w:r>
      <w:r w:rsidR="004F20EC" w:rsidRPr="000E57F5">
        <w:rPr>
          <w:sz w:val="24"/>
          <w:szCs w:val="24"/>
        </w:rPr>
        <w:t xml:space="preserve">of </w:t>
      </w:r>
      <w:r w:rsidRPr="000E57F5">
        <w:rPr>
          <w:sz w:val="24"/>
          <w:szCs w:val="24"/>
        </w:rPr>
        <w:t xml:space="preserve">interventions) for women may explain why so few women had additional requirements on their orders compared to men.  This suggests that provision in the community </w:t>
      </w:r>
      <w:r w:rsidR="004F20EC" w:rsidRPr="000E57F5">
        <w:rPr>
          <w:sz w:val="24"/>
          <w:szCs w:val="24"/>
        </w:rPr>
        <w:t>may</w:t>
      </w:r>
      <w:r w:rsidRPr="000E57F5">
        <w:rPr>
          <w:sz w:val="24"/>
          <w:szCs w:val="24"/>
        </w:rPr>
        <w:t xml:space="preserve">, in some cases, impact on </w:t>
      </w:r>
      <w:r w:rsidRPr="000E57F5">
        <w:rPr>
          <w:i/>
          <w:sz w:val="24"/>
          <w:szCs w:val="24"/>
        </w:rPr>
        <w:t>community</w:t>
      </w:r>
      <w:r w:rsidRPr="000E57F5">
        <w:rPr>
          <w:sz w:val="24"/>
          <w:szCs w:val="24"/>
        </w:rPr>
        <w:t xml:space="preserve"> sentencing decisions.</w:t>
      </w:r>
    </w:p>
    <w:p w14:paraId="44D6AD6B" w14:textId="77777777" w:rsidR="008A37EC" w:rsidRPr="000E57F5" w:rsidRDefault="008A37EC" w:rsidP="006F0C6A">
      <w:pPr>
        <w:pStyle w:val="SGBullet"/>
        <w:rPr>
          <w:sz w:val="24"/>
          <w:szCs w:val="24"/>
        </w:rPr>
      </w:pPr>
      <w:proofErr w:type="spellStart"/>
      <w:r w:rsidRPr="000E57F5">
        <w:rPr>
          <w:sz w:val="24"/>
          <w:szCs w:val="24"/>
        </w:rPr>
        <w:t>Sentencers</w:t>
      </w:r>
      <w:proofErr w:type="spellEnd"/>
      <w:r w:rsidR="004F20EC" w:rsidRPr="000E57F5">
        <w:rPr>
          <w:sz w:val="24"/>
          <w:szCs w:val="24"/>
        </w:rPr>
        <w:t>’</w:t>
      </w:r>
      <w:r w:rsidRPr="000E57F5">
        <w:rPr>
          <w:sz w:val="24"/>
          <w:szCs w:val="24"/>
        </w:rPr>
        <w:t xml:space="preserve"> decisions were primarily based on a </w:t>
      </w:r>
      <w:r w:rsidRPr="000E57F5">
        <w:rPr>
          <w:b/>
          <w:sz w:val="24"/>
          <w:szCs w:val="24"/>
        </w:rPr>
        <w:t>custody ‘threshold’</w:t>
      </w:r>
      <w:r w:rsidRPr="000E57F5">
        <w:rPr>
          <w:sz w:val="24"/>
          <w:szCs w:val="24"/>
        </w:rPr>
        <w:t xml:space="preserve"> which was determined by the </w:t>
      </w:r>
      <w:r w:rsidRPr="000E57F5">
        <w:rPr>
          <w:b/>
          <w:sz w:val="24"/>
          <w:szCs w:val="24"/>
        </w:rPr>
        <w:t>seriousness of the crime</w:t>
      </w:r>
      <w:r w:rsidRPr="000E57F5">
        <w:rPr>
          <w:sz w:val="24"/>
          <w:szCs w:val="24"/>
        </w:rPr>
        <w:t xml:space="preserve"> (e.g. serious violence, drug supply and domestic burglary) and, whether a person poses a risk to the public.  Other studies have </w:t>
      </w:r>
      <w:r w:rsidR="004F20EC" w:rsidRPr="000E57F5">
        <w:rPr>
          <w:sz w:val="24"/>
          <w:szCs w:val="24"/>
        </w:rPr>
        <w:t xml:space="preserve">also </w:t>
      </w:r>
      <w:r w:rsidRPr="000E57F5">
        <w:rPr>
          <w:sz w:val="24"/>
          <w:szCs w:val="24"/>
        </w:rPr>
        <w:t xml:space="preserve">reported that the seriousness of the offence is paramount, and that </w:t>
      </w:r>
      <w:r w:rsidRPr="000E57F5">
        <w:rPr>
          <w:b/>
          <w:sz w:val="24"/>
          <w:szCs w:val="24"/>
        </w:rPr>
        <w:t>an offender’s gender does not influence sentencing decisions</w:t>
      </w:r>
      <w:r w:rsidR="009F1C49" w:rsidRPr="000E57F5">
        <w:rPr>
          <w:sz w:val="24"/>
          <w:szCs w:val="24"/>
        </w:rPr>
        <w:t>, with the exception of</w:t>
      </w:r>
      <w:r w:rsidRPr="000E57F5">
        <w:rPr>
          <w:sz w:val="24"/>
          <w:szCs w:val="24"/>
        </w:rPr>
        <w:t xml:space="preserve"> childcare responsibilities, which was one area in which a wom</w:t>
      </w:r>
      <w:r w:rsidR="00E77C5D" w:rsidRPr="000E57F5">
        <w:rPr>
          <w:sz w:val="24"/>
          <w:szCs w:val="24"/>
        </w:rPr>
        <w:t>a</w:t>
      </w:r>
      <w:r w:rsidRPr="000E57F5">
        <w:rPr>
          <w:sz w:val="24"/>
          <w:szCs w:val="24"/>
        </w:rPr>
        <w:t>n may be treated differently than a man</w:t>
      </w:r>
      <w:r w:rsidRPr="000E57F5">
        <w:rPr>
          <w:sz w:val="24"/>
          <w:szCs w:val="24"/>
          <w:vertAlign w:val="superscript"/>
        </w:rPr>
        <w:endnoteReference w:id="155"/>
      </w:r>
      <w:r w:rsidRPr="000E57F5">
        <w:rPr>
          <w:sz w:val="24"/>
          <w:szCs w:val="24"/>
        </w:rPr>
        <w:t>.</w:t>
      </w:r>
    </w:p>
    <w:p w14:paraId="7AC7AA53" w14:textId="77777777" w:rsidR="008A37EC" w:rsidRPr="000E57F5" w:rsidRDefault="008A37EC" w:rsidP="006F0C6A">
      <w:pPr>
        <w:pStyle w:val="SGBullet"/>
        <w:rPr>
          <w:sz w:val="24"/>
          <w:szCs w:val="24"/>
        </w:rPr>
      </w:pPr>
      <w:r w:rsidRPr="000E57F5">
        <w:rPr>
          <w:sz w:val="24"/>
          <w:szCs w:val="24"/>
        </w:rPr>
        <w:t xml:space="preserve">Where </w:t>
      </w:r>
      <w:proofErr w:type="spellStart"/>
      <w:r w:rsidRPr="000E57F5">
        <w:rPr>
          <w:sz w:val="24"/>
          <w:szCs w:val="24"/>
        </w:rPr>
        <w:t>sentencers</w:t>
      </w:r>
      <w:proofErr w:type="spellEnd"/>
      <w:r w:rsidRPr="000E57F5">
        <w:rPr>
          <w:sz w:val="24"/>
          <w:szCs w:val="24"/>
        </w:rPr>
        <w:t xml:space="preserve"> felt they had more choice, they said they used custody as a </w:t>
      </w:r>
      <w:r w:rsidRPr="000E57F5">
        <w:rPr>
          <w:b/>
          <w:sz w:val="24"/>
          <w:szCs w:val="24"/>
        </w:rPr>
        <w:t>last resort</w:t>
      </w:r>
      <w:r w:rsidRPr="000E57F5">
        <w:rPr>
          <w:sz w:val="24"/>
          <w:szCs w:val="24"/>
        </w:rPr>
        <w:t xml:space="preserve"> for both men and women.  However, magistrates (who deal with less serious crimes) described cases that met the custody threshold as those involving repeat offenders who had not previously served a custodial sentence.  This is consistent with previous research which </w:t>
      </w:r>
      <w:r w:rsidR="00E11F4F" w:rsidRPr="000E57F5">
        <w:rPr>
          <w:sz w:val="24"/>
          <w:szCs w:val="24"/>
        </w:rPr>
        <w:t xml:space="preserve">has </w:t>
      </w:r>
      <w:r w:rsidRPr="000E57F5">
        <w:rPr>
          <w:sz w:val="24"/>
          <w:szCs w:val="24"/>
        </w:rPr>
        <w:t xml:space="preserve">reported magistrates as viewing </w:t>
      </w:r>
      <w:r w:rsidRPr="000E57F5">
        <w:rPr>
          <w:b/>
          <w:sz w:val="24"/>
          <w:szCs w:val="24"/>
        </w:rPr>
        <w:t>custody as inevitable</w:t>
      </w:r>
      <w:r w:rsidRPr="000E57F5">
        <w:rPr>
          <w:sz w:val="24"/>
          <w:szCs w:val="24"/>
        </w:rPr>
        <w:t xml:space="preserve"> where an offender’s previous offending and sentencing history is prolific</w:t>
      </w:r>
      <w:r w:rsidRPr="000E57F5">
        <w:rPr>
          <w:sz w:val="24"/>
          <w:szCs w:val="24"/>
          <w:vertAlign w:val="superscript"/>
        </w:rPr>
        <w:endnoteReference w:id="156"/>
      </w:r>
      <w:r w:rsidRPr="000E57F5">
        <w:rPr>
          <w:sz w:val="24"/>
          <w:szCs w:val="24"/>
        </w:rPr>
        <w:t xml:space="preserve">, as well as </w:t>
      </w:r>
      <w:r w:rsidR="002D7877" w:rsidRPr="000E57F5">
        <w:rPr>
          <w:sz w:val="24"/>
          <w:szCs w:val="24"/>
        </w:rPr>
        <w:t xml:space="preserve">a </w:t>
      </w:r>
      <w:r w:rsidRPr="000E57F5">
        <w:rPr>
          <w:sz w:val="24"/>
          <w:szCs w:val="24"/>
        </w:rPr>
        <w:t xml:space="preserve">number of other UK and Scottish studies which reported that </w:t>
      </w:r>
      <w:r w:rsidRPr="000E57F5">
        <w:rPr>
          <w:b/>
          <w:sz w:val="24"/>
          <w:szCs w:val="24"/>
        </w:rPr>
        <w:t>in borderline cases,</w:t>
      </w:r>
      <w:r w:rsidRPr="000E57F5">
        <w:rPr>
          <w:sz w:val="24"/>
          <w:szCs w:val="24"/>
        </w:rPr>
        <w:t xml:space="preserve"> </w:t>
      </w:r>
      <w:proofErr w:type="spellStart"/>
      <w:r w:rsidRPr="000E57F5">
        <w:rPr>
          <w:b/>
          <w:sz w:val="24"/>
          <w:szCs w:val="24"/>
        </w:rPr>
        <w:t>sentencers</w:t>
      </w:r>
      <w:proofErr w:type="spellEnd"/>
      <w:r w:rsidRPr="000E57F5">
        <w:rPr>
          <w:b/>
          <w:sz w:val="24"/>
          <w:szCs w:val="24"/>
        </w:rPr>
        <w:t xml:space="preserve"> are more likely to imprison women with a history of breaches of community sentences</w:t>
      </w:r>
      <w:r w:rsidRPr="000E57F5">
        <w:rPr>
          <w:sz w:val="24"/>
          <w:szCs w:val="24"/>
          <w:vertAlign w:val="superscript"/>
        </w:rPr>
        <w:endnoteReference w:id="157"/>
      </w:r>
      <w:r w:rsidRPr="000E57F5">
        <w:rPr>
          <w:sz w:val="24"/>
          <w:szCs w:val="24"/>
        </w:rPr>
        <w:t>.</w:t>
      </w:r>
    </w:p>
    <w:p w14:paraId="58DE24CB" w14:textId="77777777" w:rsidR="008A37EC" w:rsidRPr="000E57F5" w:rsidRDefault="008A37EC" w:rsidP="006F0C6A">
      <w:pPr>
        <w:pStyle w:val="SGBullet"/>
        <w:rPr>
          <w:sz w:val="24"/>
          <w:szCs w:val="24"/>
        </w:rPr>
      </w:pPr>
      <w:proofErr w:type="spellStart"/>
      <w:r w:rsidRPr="000E57F5">
        <w:rPr>
          <w:sz w:val="24"/>
          <w:szCs w:val="24"/>
        </w:rPr>
        <w:t>Sentencers</w:t>
      </w:r>
      <w:proofErr w:type="spellEnd"/>
      <w:r w:rsidRPr="000E57F5">
        <w:rPr>
          <w:sz w:val="24"/>
          <w:szCs w:val="24"/>
        </w:rPr>
        <w:t xml:space="preserve"> were less likely to be influenced by an offender’s needs, and more likely to be persuaded by an </w:t>
      </w:r>
      <w:r w:rsidRPr="000E57F5">
        <w:rPr>
          <w:b/>
          <w:sz w:val="24"/>
          <w:szCs w:val="24"/>
        </w:rPr>
        <w:t>intervention’s impact</w:t>
      </w:r>
      <w:r w:rsidRPr="000E57F5">
        <w:rPr>
          <w:sz w:val="24"/>
          <w:szCs w:val="24"/>
        </w:rPr>
        <w:t xml:space="preserve"> on reducing reoffending and the effect of the decision on innocent parties (e.g. offenders’ families, victims, the public)</w:t>
      </w:r>
      <w:r w:rsidR="009F1C49" w:rsidRPr="000E57F5">
        <w:rPr>
          <w:sz w:val="24"/>
          <w:szCs w:val="24"/>
        </w:rPr>
        <w:t>.</w:t>
      </w:r>
    </w:p>
    <w:p w14:paraId="5D365649" w14:textId="77777777" w:rsidR="008A37EC" w:rsidRPr="000E57F5" w:rsidRDefault="008A37EC" w:rsidP="006F0C6A">
      <w:pPr>
        <w:pStyle w:val="SGBullet"/>
        <w:rPr>
          <w:sz w:val="24"/>
          <w:szCs w:val="24"/>
        </w:rPr>
      </w:pPr>
      <w:r w:rsidRPr="000E57F5">
        <w:rPr>
          <w:sz w:val="24"/>
          <w:szCs w:val="24"/>
        </w:rPr>
        <w:t xml:space="preserve">Having said that, there was some appetite amongst </w:t>
      </w:r>
      <w:proofErr w:type="spellStart"/>
      <w:r w:rsidRPr="000E57F5">
        <w:rPr>
          <w:sz w:val="24"/>
          <w:szCs w:val="24"/>
        </w:rPr>
        <w:t>sentencers</w:t>
      </w:r>
      <w:proofErr w:type="spellEnd"/>
      <w:r w:rsidRPr="000E57F5">
        <w:rPr>
          <w:sz w:val="24"/>
          <w:szCs w:val="24"/>
        </w:rPr>
        <w:t xml:space="preserve"> for </w:t>
      </w:r>
      <w:r w:rsidRPr="000E57F5">
        <w:rPr>
          <w:b/>
          <w:sz w:val="24"/>
          <w:szCs w:val="24"/>
        </w:rPr>
        <w:t xml:space="preserve">‘residential accommodation’ </w:t>
      </w:r>
      <w:r w:rsidRPr="000E57F5">
        <w:rPr>
          <w:sz w:val="24"/>
          <w:szCs w:val="24"/>
        </w:rPr>
        <w:t xml:space="preserve">for those with mental health and drug problems.  This seemed to be based on there being a recognised need (associated with offending) which required </w:t>
      </w:r>
      <w:r w:rsidRPr="000E57F5">
        <w:rPr>
          <w:b/>
          <w:sz w:val="24"/>
          <w:szCs w:val="24"/>
        </w:rPr>
        <w:t>treatment combined with</w:t>
      </w:r>
      <w:r w:rsidRPr="000E57F5">
        <w:rPr>
          <w:sz w:val="24"/>
          <w:szCs w:val="24"/>
        </w:rPr>
        <w:t xml:space="preserve"> </w:t>
      </w:r>
      <w:r w:rsidRPr="000E57F5">
        <w:rPr>
          <w:b/>
          <w:sz w:val="24"/>
          <w:szCs w:val="24"/>
        </w:rPr>
        <w:t>enhanced supervision</w:t>
      </w:r>
      <w:r w:rsidRPr="000E57F5">
        <w:rPr>
          <w:sz w:val="24"/>
          <w:szCs w:val="24"/>
        </w:rPr>
        <w:t xml:space="preserve">, which it was felt was not currently provided by community orders.  </w:t>
      </w:r>
    </w:p>
    <w:p w14:paraId="089926DC" w14:textId="77777777" w:rsidR="008A37EC" w:rsidRPr="008A37EC" w:rsidRDefault="008A37EC" w:rsidP="00402D02">
      <w:pPr>
        <w:pStyle w:val="SGBodytext"/>
      </w:pPr>
      <w:r w:rsidRPr="008A37EC">
        <w:t>Although the situation is somewhat different in Scotland in terms of the function of women’s centres (unlike in England, most women’s centres/</w:t>
      </w:r>
      <w:r w:rsidR="009F1C49">
        <w:t xml:space="preserve">community justice </w:t>
      </w:r>
      <w:r w:rsidRPr="008A37EC">
        <w:t xml:space="preserve">services in Scotland supervise women serving community orders), there are some important messages.  </w:t>
      </w:r>
      <w:r w:rsidRPr="008A37EC">
        <w:rPr>
          <w:b/>
        </w:rPr>
        <w:t xml:space="preserve">Sentencing decisions </w:t>
      </w:r>
      <w:r w:rsidR="009F1C49">
        <w:rPr>
          <w:b/>
        </w:rPr>
        <w:t>appear to be</w:t>
      </w:r>
      <w:r w:rsidRPr="008A37EC">
        <w:rPr>
          <w:b/>
        </w:rPr>
        <w:t xml:space="preserve">  influenced by a women’s offending and sentencing history</w:t>
      </w:r>
      <w:r w:rsidR="009F1C49">
        <w:rPr>
          <w:b/>
        </w:rPr>
        <w:t xml:space="preserve"> under certain circumstances</w:t>
      </w:r>
      <w:r w:rsidRPr="008A37EC">
        <w:t xml:space="preserve">.  This could result in prolific but low-level offenders with a history of non-compliance being </w:t>
      </w:r>
      <w:r w:rsidR="00E11F4F">
        <w:t>at risk of</w:t>
      </w:r>
      <w:r w:rsidRPr="008A37EC">
        <w:t xml:space="preserve"> custody.  It is </w:t>
      </w:r>
      <w:r w:rsidR="00EE636D">
        <w:t>likely</w:t>
      </w:r>
      <w:r w:rsidR="00EE636D" w:rsidRPr="008A37EC">
        <w:t xml:space="preserve"> </w:t>
      </w:r>
      <w:r w:rsidRPr="008A37EC">
        <w:t xml:space="preserve">that some of the women in remand and those serving short prison sentences may fall into this group.  This has been reported in relation to the use of </w:t>
      </w:r>
      <w:r w:rsidRPr="008A37EC">
        <w:rPr>
          <w:b/>
        </w:rPr>
        <w:t>remand in Scotland</w:t>
      </w:r>
      <w:r w:rsidRPr="008A37EC">
        <w:t>, with one study</w:t>
      </w:r>
      <w:r w:rsidRPr="008A37EC">
        <w:rPr>
          <w:vertAlign w:val="superscript"/>
        </w:rPr>
        <w:endnoteReference w:id="158"/>
      </w:r>
      <w:r w:rsidRPr="008A37EC">
        <w:t xml:space="preserve"> reporting that judges felt they had ‘no option’ but to remand repeat or persistent minor offenders.  The same study reported that whilst judges were not supportive of any extension of money bail, they were </w:t>
      </w:r>
      <w:r w:rsidRPr="00EB29FB">
        <w:rPr>
          <w:b/>
        </w:rPr>
        <w:t>more</w:t>
      </w:r>
      <w:r w:rsidRPr="008A37EC">
        <w:t xml:space="preserve"> </w:t>
      </w:r>
      <w:r w:rsidRPr="00EB29FB">
        <w:rPr>
          <w:b/>
        </w:rPr>
        <w:t xml:space="preserve">enthusiastic about women’s centres and the use of electronic monitoring </w:t>
      </w:r>
      <w:r w:rsidRPr="008A37EC">
        <w:t xml:space="preserve">as an extra bail condition.  </w:t>
      </w:r>
    </w:p>
    <w:p w14:paraId="76746E75" w14:textId="77777777" w:rsidR="008A37EC" w:rsidRPr="008A37EC" w:rsidRDefault="008A37EC" w:rsidP="00402D02">
      <w:pPr>
        <w:pStyle w:val="SGBodytext"/>
      </w:pPr>
      <w:r w:rsidRPr="008A37EC">
        <w:t xml:space="preserve">A further message is that the existence of effective community alternatives may not in themselves prevent female offenders from being sent to prison.  Having said that, it has been argued that poor information sharing about services is a barrier to the increased use of women-specific community orders (as an alternative to short custodial sentences) and </w:t>
      </w:r>
      <w:r w:rsidRPr="008A37EC">
        <w:lastRenderedPageBreak/>
        <w:t>could be improved by a local directory of services</w:t>
      </w:r>
      <w:r w:rsidR="006767CB" w:rsidRPr="006767CB">
        <w:rPr>
          <w:vertAlign w:val="superscript"/>
        </w:rPr>
        <w:t xml:space="preserve"> </w:t>
      </w:r>
      <w:r w:rsidR="006767CB" w:rsidRPr="008A37EC">
        <w:rPr>
          <w:vertAlign w:val="superscript"/>
        </w:rPr>
        <w:endnoteReference w:id="159"/>
      </w:r>
      <w:r w:rsidR="006767CB">
        <w:t xml:space="preserve">.  In Scotland an online </w:t>
      </w:r>
      <w:r w:rsidR="006767CB" w:rsidRPr="009049E1">
        <w:rPr>
          <w:i/>
        </w:rPr>
        <w:t>National Directory of Interventions and Services for Offenders</w:t>
      </w:r>
      <w:r w:rsidR="006767CB">
        <w:t xml:space="preserve"> has been in place since 2012</w:t>
      </w:r>
      <w:r w:rsidRPr="008A37EC">
        <w:t xml:space="preserve">. </w:t>
      </w:r>
    </w:p>
    <w:p w14:paraId="6BBE629B" w14:textId="77777777" w:rsidR="00C97C61" w:rsidRPr="008A37EC" w:rsidRDefault="00D17C56" w:rsidP="00402D02">
      <w:pPr>
        <w:pStyle w:val="SGBodytext"/>
      </w:pPr>
      <w:r>
        <w:t xml:space="preserve">If women-specific community-based sentences </w:t>
      </w:r>
      <w:r w:rsidR="008A37EC" w:rsidRPr="008A37EC">
        <w:t xml:space="preserve">are to be considered as a viable alternative to custody, </w:t>
      </w:r>
      <w:r w:rsidR="006F67B4">
        <w:t xml:space="preserve">it appears that sentencers may need to be informed and reassured about </w:t>
      </w:r>
      <w:r w:rsidR="008A37EC" w:rsidRPr="008A37EC">
        <w:t xml:space="preserve">the appropriateness and reliability of </w:t>
      </w:r>
      <w:r w:rsidR="008A37EC" w:rsidRPr="00EB29FB">
        <w:t>supervision</w:t>
      </w:r>
      <w:r w:rsidR="001F6460">
        <w:t xml:space="preserve">, </w:t>
      </w:r>
      <w:r w:rsidR="00DD10C3">
        <w:t>how effective a service is at</w:t>
      </w:r>
      <w:r w:rsidR="008A37EC" w:rsidRPr="00E0529B">
        <w:t xml:space="preserve"> </w:t>
      </w:r>
      <w:r w:rsidR="008A37EC" w:rsidRPr="00EB29FB">
        <w:t>reducing reoffending</w:t>
      </w:r>
      <w:r w:rsidR="00DD10C3">
        <w:t>, and the impact of the sentence on others</w:t>
      </w:r>
      <w:r w:rsidR="006F67B4">
        <w:t xml:space="preserve"> (such as victims, the wider community and an offender’s children).</w:t>
      </w:r>
      <w:r w:rsidR="00465088">
        <w:t xml:space="preserve">  </w:t>
      </w:r>
      <w:r w:rsidR="008A37EC" w:rsidRPr="008A37EC">
        <w:t xml:space="preserve">A final consideration is how </w:t>
      </w:r>
      <w:r w:rsidR="008A37EC" w:rsidRPr="008A37EC">
        <w:rPr>
          <w:b/>
        </w:rPr>
        <w:t>non-compliance</w:t>
      </w:r>
      <w:r w:rsidR="008A37EC" w:rsidRPr="008A37EC">
        <w:t xml:space="preserve"> of (any increased use of) community</w:t>
      </w:r>
      <w:r w:rsidR="00DD10C3">
        <w:t>-based</w:t>
      </w:r>
      <w:r w:rsidR="008A37EC" w:rsidRPr="008A37EC">
        <w:t xml:space="preserve"> sentences would be handled, both in terms of the</w:t>
      </w:r>
      <w:r>
        <w:t xml:space="preserve"> potential</w:t>
      </w:r>
      <w:r w:rsidR="008A37EC" w:rsidRPr="008A37EC">
        <w:t xml:space="preserve"> load on the judicial system and the outcome (</w:t>
      </w:r>
      <w:r>
        <w:t xml:space="preserve">e.g. </w:t>
      </w:r>
      <w:r w:rsidR="008A37EC" w:rsidRPr="008A37EC">
        <w:t xml:space="preserve">custody).  Careful thought would </w:t>
      </w:r>
      <w:r w:rsidR="00DD10C3">
        <w:t xml:space="preserve">therefore need to be given to the </w:t>
      </w:r>
      <w:r w:rsidR="00DD10C3" w:rsidRPr="008A37EC">
        <w:t xml:space="preserve">pivotal role of the judiciary </w:t>
      </w:r>
      <w:r w:rsidR="00DD10C3">
        <w:t xml:space="preserve">in any regime change, as well as </w:t>
      </w:r>
      <w:r w:rsidR="008A37EC" w:rsidRPr="008A37EC">
        <w:t xml:space="preserve"> </w:t>
      </w:r>
      <w:r w:rsidR="00E11F4F">
        <w:t xml:space="preserve">what role </w:t>
      </w:r>
      <w:r w:rsidR="008A37EC" w:rsidRPr="008A37EC">
        <w:t xml:space="preserve">community </w:t>
      </w:r>
      <w:r w:rsidR="00DD10C3">
        <w:t>-based services</w:t>
      </w:r>
      <w:r w:rsidR="00EE636D">
        <w:t xml:space="preserve"> </w:t>
      </w:r>
      <w:r w:rsidR="008A37EC" w:rsidRPr="008A37EC">
        <w:t xml:space="preserve">such </w:t>
      </w:r>
      <w:r w:rsidR="002D7877">
        <w:t xml:space="preserve">as women’s </w:t>
      </w:r>
      <w:r w:rsidR="00DD10C3">
        <w:t xml:space="preserve">community justice services </w:t>
      </w:r>
      <w:r w:rsidR="00E11F4F">
        <w:t>may play</w:t>
      </w:r>
      <w:r w:rsidR="00465088">
        <w:t>.</w:t>
      </w:r>
    </w:p>
    <w:p w14:paraId="01D9C7ED" w14:textId="77777777" w:rsidR="008A37EC" w:rsidRPr="008A37EC" w:rsidRDefault="008A37EC" w:rsidP="00246F60">
      <w:pPr>
        <w:pStyle w:val="Heading2blue"/>
        <w:rPr>
          <w:rFonts w:eastAsiaTheme="majorEastAsia"/>
        </w:rPr>
      </w:pPr>
      <w:bookmarkStart w:id="51" w:name="_Toc429555826"/>
      <w:r w:rsidRPr="008A37EC">
        <w:rPr>
          <w:rFonts w:eastAsiaTheme="majorEastAsia"/>
        </w:rPr>
        <w:t>Public acceptability</w:t>
      </w:r>
      <w:bookmarkEnd w:id="51"/>
      <w:r w:rsidRPr="008A37EC">
        <w:rPr>
          <w:rFonts w:eastAsiaTheme="majorEastAsia"/>
        </w:rPr>
        <w:t xml:space="preserve"> </w:t>
      </w:r>
    </w:p>
    <w:p w14:paraId="1AD78D11" w14:textId="77777777" w:rsidR="008A37EC" w:rsidRPr="008A37EC" w:rsidRDefault="008A37EC" w:rsidP="00402D02">
      <w:pPr>
        <w:pStyle w:val="SGBodytext"/>
      </w:pPr>
      <w:r w:rsidRPr="008A37EC">
        <w:t>Bringing prisons closer to communities may require some form of engagement with those communities and the wider public.</w:t>
      </w:r>
      <w:r w:rsidR="00E11F4F">
        <w:t xml:space="preserve">  </w:t>
      </w:r>
      <w:r w:rsidRPr="008A37EC">
        <w:t xml:space="preserve">Whilst the Scottish Government does not currently measure public attitudes to </w:t>
      </w:r>
      <w:r w:rsidR="00515E4A">
        <w:t xml:space="preserve">women’s </w:t>
      </w:r>
      <w:r w:rsidRPr="008A37EC">
        <w:t>prisons, the Scottish Crime and Justice Survey (2012-13</w:t>
      </w:r>
      <w:r w:rsidRPr="008A37EC">
        <w:rPr>
          <w:vertAlign w:val="superscript"/>
        </w:rPr>
        <w:footnoteReference w:id="22"/>
      </w:r>
      <w:r w:rsidRPr="008A37EC">
        <w:t xml:space="preserve">) reported fairly </w:t>
      </w:r>
      <w:r w:rsidRPr="008A37EC">
        <w:rPr>
          <w:b/>
        </w:rPr>
        <w:t>low levels of public confidence</w:t>
      </w:r>
      <w:r w:rsidRPr="008A37EC">
        <w:t xml:space="preserve"> in the effectiveness of prisons at punishing offenders (53% were not confident), rehabilitation (68% not confident), and at deterring people from crime (68% not confident).  Confidence was much higher for prisons’ effectiveness at protecting the public from crime (68% confident).  </w:t>
      </w:r>
    </w:p>
    <w:p w14:paraId="5A4B80F8" w14:textId="77777777" w:rsidR="008A37EC" w:rsidRPr="008A37EC" w:rsidRDefault="008A37EC" w:rsidP="00402D02">
      <w:pPr>
        <w:pStyle w:val="SGBodytext"/>
      </w:pPr>
      <w:r w:rsidRPr="008A37EC">
        <w:t xml:space="preserve">The survey also reported higher levels of confidence in community sentences, with two-thirds of adults (66%) agreeing that community sentencing is an effective way of dealing with less serious crime.  The public are less confident, however, in the how effective a deterrent they are, and in whether they punish low level offences.  Almost half of adults agreed that learning new skills during community sentences stops low level offenders from committing more crimes.    </w:t>
      </w:r>
    </w:p>
    <w:p w14:paraId="1D9F98FD" w14:textId="77777777" w:rsidR="008A37EC" w:rsidRPr="008A37EC" w:rsidRDefault="008A37EC" w:rsidP="00402D02">
      <w:pPr>
        <w:pStyle w:val="SGBodytext"/>
      </w:pPr>
      <w:r w:rsidRPr="008A37EC">
        <w:t xml:space="preserve">This suggests that </w:t>
      </w:r>
      <w:r w:rsidRPr="00EB29FB">
        <w:rPr>
          <w:b/>
        </w:rPr>
        <w:t>the public may be receptive to more community-based rehabilitative approaches</w:t>
      </w:r>
      <w:r w:rsidRPr="008A37EC">
        <w:t xml:space="preserve"> although this is likely to depend heavily on the nature of the offence and how effective any alternative approach is deemed to be at protecting the public.  That being said, there does seem to be a perception amongst the public in Scotland that neither prisons nor community sentences are very effective at punishing offenders.  </w:t>
      </w:r>
    </w:p>
    <w:p w14:paraId="0EBCF529" w14:textId="77777777" w:rsidR="008A37EC" w:rsidRDefault="008A37EC" w:rsidP="00402D02">
      <w:pPr>
        <w:pStyle w:val="SGBodytext"/>
      </w:pPr>
      <w:r w:rsidRPr="008A37EC">
        <w:t xml:space="preserve">There is a wider debate within criminal justice about the need to move away from a culture of ‘populist punitiveness’.  This is informed to some extent by Scandinavian approaches which, as noted earlier (see </w:t>
      </w:r>
      <w:r w:rsidR="00D77285" w:rsidRPr="000E57F5">
        <w:t>Chapter 6.</w:t>
      </w:r>
      <w:r w:rsidR="00D77285" w:rsidRPr="00D77285">
        <w:rPr>
          <w:i/>
        </w:rPr>
        <w:t xml:space="preserve"> </w:t>
      </w:r>
      <w:r w:rsidR="00D77285" w:rsidRPr="00D77285">
        <w:rPr>
          <w:i/>
        </w:rPr>
        <w:fldChar w:fldCharType="begin"/>
      </w:r>
      <w:r w:rsidR="00D77285" w:rsidRPr="00D77285">
        <w:rPr>
          <w:i/>
        </w:rPr>
        <w:instrText xml:space="preserve"> REF _Ref425945733 \h </w:instrText>
      </w:r>
      <w:r w:rsidR="00D77285" w:rsidRPr="00EB29FB">
        <w:rPr>
          <w:i/>
        </w:rPr>
        <w:instrText xml:space="preserve"> \* MERGEFORMAT </w:instrText>
      </w:r>
      <w:r w:rsidR="00D77285" w:rsidRPr="00D77285">
        <w:rPr>
          <w:i/>
        </w:rPr>
      </w:r>
      <w:r w:rsidR="00D77285" w:rsidRPr="00D77285">
        <w:rPr>
          <w:i/>
        </w:rPr>
        <w:fldChar w:fldCharType="separate"/>
      </w:r>
      <w:r w:rsidR="00246821" w:rsidRPr="00246821">
        <w:rPr>
          <w:i/>
        </w:rPr>
        <w:t>The Scandinavian Model</w:t>
      </w:r>
      <w:r w:rsidR="00D77285" w:rsidRPr="00D77285">
        <w:rPr>
          <w:i/>
        </w:rPr>
        <w:fldChar w:fldCharType="end"/>
      </w:r>
      <w:r w:rsidRPr="008A37EC">
        <w:t>), are less influenced by political structures and public opinion than may be the case in Scotland.  Clearly there is a balance to be met between public acceptability (if that were deemed to be a concern) and what the evidence suggests is most effective. The two are not independent of each other of course; evidence (of effectiveness) could be used to influence the public’s views on different forms of custody and sentencing.  It is also possible that the public may be more willing to support less punitive measures for women, particularly those with children.</w:t>
      </w:r>
    </w:p>
    <w:p w14:paraId="0215D1CE" w14:textId="77777777" w:rsidR="00FC06EC" w:rsidRPr="008A37EC" w:rsidRDefault="00FC06EC" w:rsidP="00FC06EC">
      <w:pPr>
        <w:pStyle w:val="Heading2blue"/>
        <w:rPr>
          <w:rFonts w:eastAsiaTheme="majorEastAsia"/>
          <w:lang w:eastAsia="en-GB"/>
        </w:rPr>
      </w:pPr>
      <w:bookmarkStart w:id="52" w:name="_Toc429555827"/>
      <w:r w:rsidRPr="008A37EC">
        <w:rPr>
          <w:rFonts w:eastAsiaTheme="majorEastAsia"/>
          <w:lang w:eastAsia="en-GB"/>
        </w:rPr>
        <w:lastRenderedPageBreak/>
        <w:t>Visits</w:t>
      </w:r>
      <w:bookmarkEnd w:id="52"/>
    </w:p>
    <w:p w14:paraId="1A1E9040" w14:textId="77777777" w:rsidR="00FC06EC" w:rsidRPr="008A37EC" w:rsidRDefault="00FC06EC" w:rsidP="00402D02">
      <w:pPr>
        <w:pStyle w:val="SGBodytext"/>
      </w:pPr>
      <w:r w:rsidRPr="008A37EC">
        <w:t xml:space="preserve">Visiting rights and practices vary considerably.  In some countries, such as Denmark, private family visits are a normal part of prison life.  </w:t>
      </w:r>
      <w:r w:rsidR="00D77285">
        <w:t>O</w:t>
      </w:r>
      <w:r w:rsidRPr="008A37EC">
        <w:t>ther countries make various provisions to enable mothers to maintain contact with their children such as family visits and family (overnight) stays at weekends</w:t>
      </w:r>
      <w:r w:rsidR="00D77285">
        <w:t xml:space="preserve"> (see </w:t>
      </w:r>
      <w:r w:rsidR="00D77285" w:rsidRPr="00EB29FB">
        <w:rPr>
          <w:i/>
        </w:rPr>
        <w:t xml:space="preserve">International approaches to parental </w:t>
      </w:r>
      <w:r w:rsidR="00D77285" w:rsidRPr="00EB29FB">
        <w:rPr>
          <w:i/>
          <w:noProof w:val="0"/>
        </w:rPr>
        <w:t>responsibili</w:t>
      </w:r>
      <w:r w:rsidR="00D77285">
        <w:rPr>
          <w:i/>
          <w:noProof w:val="0"/>
        </w:rPr>
        <w:t>ti</w:t>
      </w:r>
      <w:r w:rsidR="00D77285" w:rsidRPr="00EB29FB">
        <w:rPr>
          <w:i/>
          <w:noProof w:val="0"/>
        </w:rPr>
        <w:t>es</w:t>
      </w:r>
      <w:r w:rsidR="00D77285">
        <w:t>)</w:t>
      </w:r>
      <w:r w:rsidRPr="008A37EC">
        <w:t xml:space="preserve">.  </w:t>
      </w:r>
    </w:p>
    <w:p w14:paraId="21909483" w14:textId="77777777" w:rsidR="00FC06EC" w:rsidRPr="008A37EC" w:rsidRDefault="00FC06EC" w:rsidP="00402D02">
      <w:pPr>
        <w:pStyle w:val="SGBodytext"/>
      </w:pPr>
      <w:r w:rsidRPr="008A37EC">
        <w:t xml:space="preserve">In Scotland, women are more likely (than men) to have regular contact with family and friends by telephone and letter, but are </w:t>
      </w:r>
      <w:r w:rsidRPr="008A37EC">
        <w:rPr>
          <w:b/>
        </w:rPr>
        <w:t>less likely to receive visits</w:t>
      </w:r>
      <w:r w:rsidRPr="008A37EC">
        <w:t xml:space="preserve"> (55% of women compared to 62% of men)</w:t>
      </w:r>
      <w:r w:rsidRPr="008A37EC">
        <w:rPr>
          <w:vertAlign w:val="superscript"/>
        </w:rPr>
        <w:endnoteReference w:id="160"/>
      </w:r>
      <w:r w:rsidRPr="008A37EC">
        <w:t>.  Given the importance of relationships wit</w:t>
      </w:r>
      <w:r>
        <w:t xml:space="preserve">h significant others in </w:t>
      </w:r>
      <w:r w:rsidRPr="008A37EC">
        <w:t xml:space="preserve">desistance </w:t>
      </w:r>
      <w:r>
        <w:t xml:space="preserve">in women </w:t>
      </w:r>
      <w:r w:rsidRPr="008A37EC">
        <w:t xml:space="preserve">this is clearly an area that warrants further attention.  Certainly being located closer to home </w:t>
      </w:r>
      <w:r w:rsidR="00D77285">
        <w:t>may</w:t>
      </w:r>
      <w:r w:rsidR="00D77285" w:rsidRPr="008A37EC">
        <w:t xml:space="preserve"> </w:t>
      </w:r>
      <w:r w:rsidRPr="008A37EC">
        <w:t xml:space="preserve">help lessen some of the barriers to visits, but </w:t>
      </w:r>
      <w:r w:rsidR="00D77285">
        <w:t xml:space="preserve">(as noted earlier) </w:t>
      </w:r>
      <w:r w:rsidRPr="008A37EC">
        <w:t xml:space="preserve">it is unlikely to resolve them entirely; relationship and parenting interventions could have an important role to play too (see </w:t>
      </w:r>
      <w:r w:rsidRPr="00236786">
        <w:rPr>
          <w:i/>
        </w:rPr>
        <w:t>Family contact during imprisonment</w:t>
      </w:r>
      <w:r w:rsidRPr="008A37EC">
        <w:t>).</w:t>
      </w:r>
    </w:p>
    <w:p w14:paraId="429E24FB" w14:textId="77777777" w:rsidR="00FC06EC" w:rsidRPr="008A37EC" w:rsidRDefault="00FC06EC" w:rsidP="00402D02">
      <w:pPr>
        <w:pStyle w:val="SGBodytext"/>
      </w:pPr>
      <w:r w:rsidRPr="008A37EC">
        <w:t>The Corston Report</w:t>
      </w:r>
      <w:r w:rsidRPr="008A37EC">
        <w:rPr>
          <w:vertAlign w:val="superscript"/>
        </w:rPr>
        <w:endnoteReference w:id="161"/>
      </w:r>
      <w:r w:rsidRPr="008A37EC">
        <w:t xml:space="preserve"> noted that distance from home presented particular challenges for women who relied on </w:t>
      </w:r>
      <w:r w:rsidRPr="008A37EC">
        <w:rPr>
          <w:b/>
        </w:rPr>
        <w:t>statutory care agencies</w:t>
      </w:r>
      <w:r w:rsidRPr="008A37EC">
        <w:t xml:space="preserve"> </w:t>
      </w:r>
      <w:r w:rsidRPr="008A37EC">
        <w:rPr>
          <w:b/>
        </w:rPr>
        <w:t>to bring their children</w:t>
      </w:r>
      <w:r w:rsidRPr="008A37EC">
        <w:t xml:space="preserve"> </w:t>
      </w:r>
      <w:r w:rsidRPr="008A37EC">
        <w:rPr>
          <w:b/>
        </w:rPr>
        <w:t>to visits</w:t>
      </w:r>
      <w:r w:rsidRPr="008A37EC">
        <w:t xml:space="preserve">, which suggests that all types of carers may need supported and encouraged to facilitate mother-child visits in prison.  Australia also advocates that prisons work with child protection departments to ensure that regular contact is maintained between women and their children where they are in care due to </w:t>
      </w:r>
      <w:r w:rsidR="00465088">
        <w:t xml:space="preserve">maternal </w:t>
      </w:r>
      <w:r w:rsidRPr="008A37EC">
        <w:t>imprisonment</w:t>
      </w:r>
      <w:r w:rsidRPr="008A37EC">
        <w:rPr>
          <w:vertAlign w:val="superscript"/>
        </w:rPr>
        <w:endnoteReference w:id="162"/>
      </w:r>
      <w:r w:rsidRPr="008A37EC">
        <w:t xml:space="preserve">.  </w:t>
      </w:r>
    </w:p>
    <w:p w14:paraId="47FD7E49" w14:textId="77777777" w:rsidR="00FC06EC" w:rsidRPr="008A37EC" w:rsidRDefault="00FC06EC" w:rsidP="00402D02">
      <w:pPr>
        <w:pStyle w:val="SGBodytext"/>
      </w:pPr>
      <w:r w:rsidRPr="008A37EC">
        <w:t>A number of reviews</w:t>
      </w:r>
      <w:r w:rsidR="001F6460">
        <w:t xml:space="preserve">, including the 2012 Angiolini Commisison on Women Offenders, </w:t>
      </w:r>
      <w:r w:rsidRPr="008A37EC">
        <w:t xml:space="preserve"> recommend the use of </w:t>
      </w:r>
      <w:r w:rsidRPr="008A37EC">
        <w:rPr>
          <w:b/>
        </w:rPr>
        <w:t>video conferencing facilities</w:t>
      </w:r>
      <w:r w:rsidRPr="008A37EC">
        <w:t xml:space="preserve"> (e.g. teleconferencing, Skype) to enable women to remain in contact with their family (e.g reading to their children)</w:t>
      </w:r>
      <w:r w:rsidRPr="008A37EC">
        <w:rPr>
          <w:vertAlign w:val="superscript"/>
        </w:rPr>
        <w:endnoteReference w:id="163"/>
      </w:r>
      <w:r w:rsidRPr="008A37EC">
        <w:rPr>
          <w:vertAlign w:val="superscript"/>
        </w:rPr>
        <w:t>,</w:t>
      </w:r>
      <w:r w:rsidRPr="008A37EC">
        <w:rPr>
          <w:vertAlign w:val="superscript"/>
        </w:rPr>
        <w:endnoteReference w:id="164"/>
      </w:r>
      <w:r w:rsidRPr="008A37EC">
        <w:t>, although it should be noted that there is limited evidence of this in practice and its impact.</w:t>
      </w:r>
    </w:p>
    <w:p w14:paraId="62E28CD6" w14:textId="77777777" w:rsidR="008A37EC" w:rsidRPr="008A37EC" w:rsidRDefault="008A37EC" w:rsidP="00246F60">
      <w:pPr>
        <w:pStyle w:val="Heading2blue"/>
        <w:rPr>
          <w:rFonts w:eastAsiaTheme="majorEastAsia"/>
        </w:rPr>
      </w:pPr>
      <w:bookmarkStart w:id="53" w:name="_Toc429555828"/>
      <w:r w:rsidRPr="008A37EC">
        <w:rPr>
          <w:rFonts w:eastAsiaTheme="majorEastAsia"/>
        </w:rPr>
        <w:t>Maintaining links with children and family</w:t>
      </w:r>
      <w:bookmarkEnd w:id="53"/>
    </w:p>
    <w:p w14:paraId="2841D12C" w14:textId="77777777" w:rsidR="008A37EC" w:rsidRPr="008A37EC" w:rsidRDefault="00034677" w:rsidP="00402D02">
      <w:pPr>
        <w:pStyle w:val="SGBodytext"/>
      </w:pPr>
      <w:r>
        <w:t>This</w:t>
      </w:r>
      <w:r w:rsidR="008A37EC" w:rsidRPr="008A37EC">
        <w:t xml:space="preserve"> section provides an overview of some of the key issues surrounding maternal imprisonment.  It begins with an overview of women in prison in Scotland who are mothers, followed by a short discussion about the value of family contact and support both during and after prison.  This is followed by a brief description of the impact of maternal imprisonment on children and, finally, a summary of different international approaches to parental responsibilities.  </w:t>
      </w:r>
    </w:p>
    <w:p w14:paraId="00026040" w14:textId="77777777" w:rsidR="008A37EC" w:rsidRPr="00246F60" w:rsidRDefault="008A37EC" w:rsidP="00246F60">
      <w:pPr>
        <w:pStyle w:val="Heading3blue"/>
      </w:pPr>
      <w:r w:rsidRPr="00246F60">
        <w:t>Mothers in prison in Scotland</w:t>
      </w:r>
    </w:p>
    <w:p w14:paraId="763333DD" w14:textId="77777777" w:rsidR="008A37EC" w:rsidRDefault="008A37EC" w:rsidP="00402D02">
      <w:pPr>
        <w:pStyle w:val="SGBodytext"/>
      </w:pPr>
      <w:r w:rsidRPr="008A37EC">
        <w:t>Approximately two thirds of imprisoned women in Scotland report having children.  Precise figures, however, are hard to obtain</w:t>
      </w:r>
      <w:r w:rsidRPr="008A37EC">
        <w:rPr>
          <w:vertAlign w:val="superscript"/>
        </w:rPr>
        <w:footnoteReference w:id="23"/>
      </w:r>
      <w:r w:rsidR="00FC6E02">
        <w:t xml:space="preserve"> .  Current </w:t>
      </w:r>
      <w:r w:rsidR="000E741B">
        <w:t>statistics</w:t>
      </w:r>
      <w:r w:rsidR="00FC6E02">
        <w:t xml:space="preserve"> derive from</w:t>
      </w:r>
      <w:r w:rsidRPr="008A37EC">
        <w:t xml:space="preserve"> self-reported data in the bi-annual Scottish Prison Service (SPS) prisoner survey.  The 2013 SPS survey </w:t>
      </w:r>
      <w:r w:rsidRPr="008A37EC">
        <w:rPr>
          <w:vertAlign w:val="superscript"/>
        </w:rPr>
        <w:endnoteReference w:id="165"/>
      </w:r>
      <w:r w:rsidRPr="008A37EC">
        <w:t xml:space="preserve"> reported that:</w:t>
      </w:r>
    </w:p>
    <w:p w14:paraId="2559A378" w14:textId="77777777" w:rsidR="008A37EC" w:rsidRPr="000E57F5" w:rsidRDefault="008A37EC" w:rsidP="006F0C6A">
      <w:pPr>
        <w:pStyle w:val="SGBullet"/>
        <w:rPr>
          <w:sz w:val="24"/>
          <w:szCs w:val="24"/>
          <w:lang w:eastAsia="en-GB"/>
        </w:rPr>
      </w:pPr>
      <w:r w:rsidRPr="000E57F5">
        <w:rPr>
          <w:sz w:val="24"/>
          <w:szCs w:val="24"/>
          <w:lang w:eastAsia="en-GB"/>
        </w:rPr>
        <w:t>65% of female prisoners reported having children</w:t>
      </w:r>
    </w:p>
    <w:p w14:paraId="7AE0EF82" w14:textId="77777777" w:rsidR="008A37EC" w:rsidRPr="000E57F5" w:rsidRDefault="008A37EC" w:rsidP="006F0C6A">
      <w:pPr>
        <w:pStyle w:val="SGBullet"/>
        <w:rPr>
          <w:sz w:val="24"/>
          <w:szCs w:val="24"/>
          <w:lang w:eastAsia="en-GB"/>
        </w:rPr>
      </w:pPr>
      <w:r w:rsidRPr="000E57F5">
        <w:rPr>
          <w:sz w:val="24"/>
          <w:szCs w:val="24"/>
          <w:lang w:eastAsia="en-GB"/>
        </w:rPr>
        <w:t xml:space="preserve">57% of mothers in prison stated that they were ‘involved in caring for (any of) their children’ </w:t>
      </w:r>
      <w:r w:rsidRPr="000E57F5">
        <w:rPr>
          <w:i/>
          <w:sz w:val="24"/>
          <w:szCs w:val="24"/>
          <w:lang w:eastAsia="en-GB"/>
        </w:rPr>
        <w:t>before</w:t>
      </w:r>
      <w:r w:rsidRPr="000E57F5">
        <w:rPr>
          <w:sz w:val="24"/>
          <w:szCs w:val="24"/>
          <w:lang w:eastAsia="en-GB"/>
        </w:rPr>
        <w:t xml:space="preserve"> they came into prison (43% stated that they were not).  </w:t>
      </w:r>
    </w:p>
    <w:p w14:paraId="225141EB" w14:textId="77777777" w:rsidR="008A37EC" w:rsidRPr="000E57F5" w:rsidRDefault="008A37EC" w:rsidP="006F0C6A">
      <w:pPr>
        <w:pStyle w:val="SGBullet"/>
        <w:rPr>
          <w:sz w:val="24"/>
          <w:szCs w:val="24"/>
          <w:lang w:eastAsia="en-GB"/>
        </w:rPr>
      </w:pPr>
      <w:r w:rsidRPr="000E57F5">
        <w:rPr>
          <w:sz w:val="24"/>
          <w:szCs w:val="24"/>
          <w:lang w:eastAsia="en-GB"/>
        </w:rPr>
        <w:lastRenderedPageBreak/>
        <w:t xml:space="preserve">48% of mothers in prison reported that they would be involved in caring for (any of) their children </w:t>
      </w:r>
      <w:r w:rsidRPr="000E57F5">
        <w:rPr>
          <w:i/>
          <w:sz w:val="24"/>
          <w:szCs w:val="24"/>
          <w:lang w:eastAsia="en-GB"/>
        </w:rPr>
        <w:t>after</w:t>
      </w:r>
      <w:r w:rsidRPr="000E57F5">
        <w:rPr>
          <w:sz w:val="24"/>
          <w:szCs w:val="24"/>
          <w:lang w:eastAsia="en-GB"/>
        </w:rPr>
        <w:t xml:space="preserve"> they leave prison (27% stated that they would not; 25% were unsure) </w:t>
      </w:r>
    </w:p>
    <w:p w14:paraId="225A993B" w14:textId="77777777" w:rsidR="008A37EC" w:rsidRPr="008A37EC" w:rsidRDefault="008A37EC" w:rsidP="00402D02">
      <w:pPr>
        <w:pStyle w:val="SGBodytext"/>
      </w:pPr>
      <w:r w:rsidRPr="008A37EC">
        <w:t>Putting aside the methodological constraints of self-reported data, this suggests that a significant proportion of mothers in prison (almost 3 in 5) care for their children in some form prior to imprisonment (though we cannot tell from the survey whether children were residing with their mothers).   The vast majority (73%, 55 women) of these women (i.e. those women that cared for their children prior to imprisonment) stated that they will r</w:t>
      </w:r>
      <w:r w:rsidR="000E741B">
        <w:t>esume some form of</w:t>
      </w:r>
      <w:r w:rsidRPr="008A37EC">
        <w:t xml:space="preserve"> care of their children on release from prison.  One fifth reported they did not know (20%, 15) and 7% (5) said they would not resume care.  This suggests that </w:t>
      </w:r>
      <w:r w:rsidRPr="008A37EC">
        <w:rPr>
          <w:b/>
        </w:rPr>
        <w:t xml:space="preserve">most women with </w:t>
      </w:r>
      <w:r w:rsidR="00AB71FB">
        <w:rPr>
          <w:b/>
        </w:rPr>
        <w:t>prior</w:t>
      </w:r>
      <w:r w:rsidR="00CA3A2F">
        <w:rPr>
          <w:b/>
        </w:rPr>
        <w:t xml:space="preserve"> </w:t>
      </w:r>
      <w:r w:rsidRPr="008A37EC">
        <w:rPr>
          <w:b/>
        </w:rPr>
        <w:t xml:space="preserve">caring responsibilities intend to continue care of </w:t>
      </w:r>
      <w:r w:rsidR="000E741B">
        <w:rPr>
          <w:b/>
        </w:rPr>
        <w:t xml:space="preserve">(some or all of) </w:t>
      </w:r>
      <w:r w:rsidRPr="008A37EC">
        <w:rPr>
          <w:b/>
        </w:rPr>
        <w:t>their children on release from custody</w:t>
      </w:r>
      <w:r w:rsidRPr="008A37EC">
        <w:rPr>
          <w:vertAlign w:val="superscript"/>
        </w:rPr>
        <w:footnoteReference w:id="24"/>
      </w:r>
      <w:r w:rsidRPr="008A37EC">
        <w:t>.</w:t>
      </w:r>
    </w:p>
    <w:p w14:paraId="08B54381" w14:textId="77777777" w:rsidR="008A37EC" w:rsidRPr="008A37EC" w:rsidRDefault="008A37EC" w:rsidP="00402D02">
      <w:pPr>
        <w:pStyle w:val="SGBodytext"/>
      </w:pPr>
      <w:r w:rsidRPr="008A37EC">
        <w:t xml:space="preserve">It has been reported </w:t>
      </w:r>
      <w:r w:rsidR="00034677">
        <w:t xml:space="preserve">in the literature on ‘what works with women offenders’ </w:t>
      </w:r>
      <w:r w:rsidRPr="008A37EC">
        <w:t>that some women (and men) under-report their parental status when in prison</w:t>
      </w:r>
      <w:r w:rsidRPr="008A37EC">
        <w:rPr>
          <w:vertAlign w:val="superscript"/>
        </w:rPr>
        <w:endnoteReference w:id="166"/>
      </w:r>
      <w:r w:rsidR="00AE1651">
        <w:t>, possibly due to lack of trust in statutory services and/or fear that their children will be taken into care</w:t>
      </w:r>
      <w:r w:rsidR="00AE1651">
        <w:rPr>
          <w:rStyle w:val="EndnoteReference"/>
        </w:rPr>
        <w:endnoteReference w:id="167"/>
      </w:r>
      <w:r w:rsidR="00AE1651" w:rsidRPr="008A37EC">
        <w:t>.</w:t>
      </w:r>
      <w:r w:rsidRPr="008A37EC">
        <w:t xml:space="preserve">  At the same time, it is important to note that 43% of mothers in prison in Scotland (see above) state they do not have any caring responsibilities for their children. Estimates derived from the SPS 2013 Prison Survey data suggest that female prisoners are mothers to approximately 400 children</w:t>
      </w:r>
      <w:r w:rsidRPr="008A37EC">
        <w:rPr>
          <w:vertAlign w:val="superscript"/>
        </w:rPr>
        <w:footnoteReference w:id="25"/>
      </w:r>
      <w:r w:rsidRPr="008A37EC">
        <w:t>.  However, not all these children will have been cared for by these women prior to their imprisonment.  It is therefore very difficult to get a true figure of how many children are impacted by maternal imprisonment in Scotland.</w:t>
      </w:r>
    </w:p>
    <w:p w14:paraId="2CEB61E3" w14:textId="77777777" w:rsidR="008A37EC" w:rsidRPr="008A37EC" w:rsidRDefault="008A37EC" w:rsidP="00246F60">
      <w:pPr>
        <w:pStyle w:val="Heading3blue"/>
        <w:rPr>
          <w:rFonts w:eastAsiaTheme="majorEastAsia"/>
        </w:rPr>
      </w:pPr>
      <w:r w:rsidRPr="008A37EC">
        <w:rPr>
          <w:rFonts w:eastAsiaTheme="majorEastAsia"/>
        </w:rPr>
        <w:t>Family contact during imprisonment</w:t>
      </w:r>
    </w:p>
    <w:p w14:paraId="5D1719E1" w14:textId="77777777" w:rsidR="008A37EC" w:rsidRPr="008A37EC" w:rsidRDefault="006F67B4" w:rsidP="00402D02">
      <w:pPr>
        <w:pStyle w:val="SGBodytext"/>
      </w:pPr>
      <w:r w:rsidRPr="009049E1">
        <w:t>L</w:t>
      </w:r>
      <w:r w:rsidR="008A37EC" w:rsidRPr="009049E1">
        <w:t xml:space="preserve">ess than four in ten </w:t>
      </w:r>
      <w:r w:rsidR="002D7877" w:rsidRPr="009049E1">
        <w:t>mothers</w:t>
      </w:r>
      <w:r w:rsidR="008A37EC" w:rsidRPr="009049E1">
        <w:t xml:space="preserve"> report receiving visits from their children</w:t>
      </w:r>
      <w:r w:rsidR="008A37EC" w:rsidRPr="008A37EC">
        <w:t xml:space="preserve"> (38% compared to</w:t>
      </w:r>
      <w:r w:rsidR="00F41DC4">
        <w:t xml:space="preserve"> 35% of fathers</w:t>
      </w:r>
      <w:r w:rsidR="008A37EC" w:rsidRPr="008A37EC">
        <w:t>).  This is lower than international evidence suggests which consistently reports that about half of prisoners (male and female) receive visits from their children</w:t>
      </w:r>
      <w:r w:rsidR="008A37EC" w:rsidRPr="008A37EC">
        <w:rPr>
          <w:vertAlign w:val="superscript"/>
        </w:rPr>
        <w:endnoteReference w:id="168"/>
      </w:r>
      <w:r w:rsidR="008A37EC" w:rsidRPr="008A37EC">
        <w:t xml:space="preserve">.  </w:t>
      </w:r>
      <w:r w:rsidR="00744CD3">
        <w:t>However, given that not all mothers in prison are involved in the care of their children prior to imprisonment (approximately 40%</w:t>
      </w:r>
      <w:r w:rsidR="006220BA">
        <w:t xml:space="preserve"> - see above</w:t>
      </w:r>
      <w:r w:rsidR="00744CD3">
        <w:t xml:space="preserve">), </w:t>
      </w:r>
      <w:r w:rsidR="006220BA">
        <w:t xml:space="preserve">it is perhaps not suprising that not all mothers receive family visits.  In addition, </w:t>
      </w:r>
      <w:r w:rsidR="008A37EC" w:rsidRPr="008A37EC">
        <w:t xml:space="preserve">but both men and women (equally) report that their </w:t>
      </w:r>
      <w:r w:rsidR="008A37EC" w:rsidRPr="00EB29FB">
        <w:rPr>
          <w:b/>
        </w:rPr>
        <w:t>family and friends face difficulties in visiting them</w:t>
      </w:r>
      <w:r w:rsidR="008A37EC" w:rsidRPr="008A37EC">
        <w:t xml:space="preserve"> (most commonly due to distance, cost and time </w:t>
      </w:r>
      <w:r w:rsidR="00F41DC4">
        <w:t>constraints</w:t>
      </w:r>
      <w:r w:rsidR="008A37EC" w:rsidRPr="008A37EC">
        <w:t>)</w:t>
      </w:r>
      <w:r w:rsidR="008A37EC" w:rsidRPr="008A37EC">
        <w:rPr>
          <w:vertAlign w:val="superscript"/>
        </w:rPr>
        <w:footnoteReference w:id="26"/>
      </w:r>
      <w:r w:rsidR="008A37EC" w:rsidRPr="008A37EC">
        <w:t xml:space="preserve">.  </w:t>
      </w:r>
    </w:p>
    <w:p w14:paraId="5A48B377" w14:textId="77777777" w:rsidR="008A37EC" w:rsidRPr="008A37EC" w:rsidRDefault="008A37EC" w:rsidP="00402D02">
      <w:pPr>
        <w:pStyle w:val="SGBodytext"/>
      </w:pPr>
      <w:r w:rsidRPr="008A37EC">
        <w:t xml:space="preserve">Reasons given elsewhere in the literature also report problems with </w:t>
      </w:r>
      <w:r w:rsidRPr="008A37EC">
        <w:rPr>
          <w:b/>
        </w:rPr>
        <w:t>travel and transport difficulties</w:t>
      </w:r>
      <w:r w:rsidRPr="008A37EC">
        <w:t xml:space="preserve">, as well as </w:t>
      </w:r>
      <w:r w:rsidRPr="008A37EC">
        <w:rPr>
          <w:b/>
        </w:rPr>
        <w:t>carer unwillingness</w:t>
      </w:r>
      <w:r w:rsidRPr="008A37EC">
        <w:t xml:space="preserve"> and inappropriate (‘oppressive’ and ‘not child-oriented’) visiting environments</w:t>
      </w:r>
      <w:r w:rsidRPr="008A37EC">
        <w:rPr>
          <w:vertAlign w:val="superscript"/>
        </w:rPr>
        <w:endnoteReference w:id="169"/>
      </w:r>
      <w:r w:rsidRPr="008A37EC">
        <w:t>.  On the latter, 80% of female prisoners report ‘positively’ on the facilities for child visits in Scottish prisons</w:t>
      </w:r>
      <w:r w:rsidRPr="008A37EC">
        <w:rPr>
          <w:vertAlign w:val="superscript"/>
        </w:rPr>
        <w:endnoteReference w:id="170"/>
      </w:r>
      <w:r w:rsidRPr="008A37EC">
        <w:t xml:space="preserve">.   This suggests that it may not be new facilities per se that are needed to improve mother-child contact but rather </w:t>
      </w:r>
      <w:r w:rsidRPr="004A40F5">
        <w:rPr>
          <w:b/>
        </w:rPr>
        <w:t>measures to address the practical and financial barriers that families face</w:t>
      </w:r>
      <w:r w:rsidRPr="008A37EC">
        <w:t xml:space="preserve"> (including distance from home), as well as the </w:t>
      </w:r>
      <w:r w:rsidRPr="004A40F5">
        <w:rPr>
          <w:b/>
        </w:rPr>
        <w:t>emotional barriers</w:t>
      </w:r>
      <w:r w:rsidRPr="008A37EC">
        <w:t xml:space="preserve"> such as the concerns of children </w:t>
      </w:r>
      <w:r w:rsidRPr="008A37EC">
        <w:lastRenderedPageBreak/>
        <w:t xml:space="preserve">and their carers about prison visits, and the willingness and ability of mothers (and carers) to maintain contact whilst in prison.   </w:t>
      </w:r>
    </w:p>
    <w:p w14:paraId="3219B732" w14:textId="77777777" w:rsidR="008A37EC" w:rsidRPr="008A37EC" w:rsidRDefault="008A37EC" w:rsidP="00402D02">
      <w:pPr>
        <w:pStyle w:val="SGBodytext"/>
      </w:pPr>
      <w:r w:rsidRPr="008A37EC">
        <w:t>One US (conference) paper</w:t>
      </w:r>
      <w:r w:rsidRPr="008A37EC">
        <w:rPr>
          <w:vertAlign w:val="superscript"/>
        </w:rPr>
        <w:endnoteReference w:id="171"/>
      </w:r>
      <w:r w:rsidRPr="008A37EC">
        <w:t xml:space="preserve"> which brings together US evidence on parenting issues during incarceration (imprisonment) highlights the </w:t>
      </w:r>
      <w:r w:rsidRPr="004A40F5">
        <w:rPr>
          <w:b/>
        </w:rPr>
        <w:t>concerns of parents/carers</w:t>
      </w:r>
      <w:r w:rsidRPr="008A37EC">
        <w:t xml:space="preserve"> of children impacted by parental imprisonment:</w:t>
      </w:r>
    </w:p>
    <w:p w14:paraId="1F95C046" w14:textId="77777777" w:rsidR="008A37EC" w:rsidRPr="000E57F5" w:rsidRDefault="008A37EC" w:rsidP="006F0C6A">
      <w:pPr>
        <w:pStyle w:val="SGBullet"/>
        <w:rPr>
          <w:sz w:val="24"/>
          <w:szCs w:val="24"/>
          <w:lang w:eastAsia="en-GB"/>
        </w:rPr>
      </w:pPr>
      <w:r w:rsidRPr="000E57F5">
        <w:rPr>
          <w:sz w:val="24"/>
          <w:szCs w:val="24"/>
          <w:lang w:eastAsia="en-GB"/>
        </w:rPr>
        <w:t>Carers often don’t know what to tell children; some children do not know that their parent is in prison</w:t>
      </w:r>
    </w:p>
    <w:p w14:paraId="4EFDFF5E" w14:textId="77777777" w:rsidR="008A37EC" w:rsidRPr="000E57F5" w:rsidRDefault="008A37EC" w:rsidP="006F0C6A">
      <w:pPr>
        <w:pStyle w:val="SGBullet"/>
        <w:rPr>
          <w:sz w:val="24"/>
          <w:szCs w:val="24"/>
          <w:lang w:eastAsia="en-GB"/>
        </w:rPr>
      </w:pPr>
      <w:r w:rsidRPr="000E57F5">
        <w:rPr>
          <w:sz w:val="24"/>
          <w:szCs w:val="24"/>
          <w:lang w:eastAsia="en-GB"/>
        </w:rPr>
        <w:t>Mothers and fathers in prison cite conflict with the other parent/carer (who they argue restrict or deny contact with children) and financial reasons as key barriers to family contact</w:t>
      </w:r>
    </w:p>
    <w:p w14:paraId="013A8CFF" w14:textId="77777777" w:rsidR="008A37EC" w:rsidRPr="000E57F5" w:rsidRDefault="008A37EC" w:rsidP="006F0C6A">
      <w:pPr>
        <w:pStyle w:val="SGBullet"/>
        <w:rPr>
          <w:sz w:val="24"/>
          <w:szCs w:val="24"/>
          <w:lang w:eastAsia="en-GB"/>
        </w:rPr>
      </w:pPr>
      <w:r w:rsidRPr="000E57F5">
        <w:rPr>
          <w:sz w:val="24"/>
          <w:szCs w:val="24"/>
          <w:lang w:eastAsia="en-GB"/>
        </w:rPr>
        <w:t>Some parents do not want their children to visit them in prison because of the emotionally painful nature of such contact or because they do not know where their children are</w:t>
      </w:r>
    </w:p>
    <w:p w14:paraId="3E3FCFEE" w14:textId="77777777" w:rsidR="008A37EC" w:rsidRPr="000E57F5" w:rsidRDefault="008A37EC" w:rsidP="006F0C6A">
      <w:pPr>
        <w:pStyle w:val="SGBullet"/>
        <w:rPr>
          <w:sz w:val="24"/>
          <w:szCs w:val="24"/>
          <w:lang w:eastAsia="en-GB"/>
        </w:rPr>
      </w:pPr>
      <w:r w:rsidRPr="000E57F5">
        <w:rPr>
          <w:sz w:val="24"/>
          <w:szCs w:val="24"/>
          <w:lang w:eastAsia="en-GB"/>
        </w:rPr>
        <w:t xml:space="preserve">Other concerns raised by incarcerated parents are that the short-term nature of their sentence negates the need for children to visit, or that they feel they can’t do anything for their children in prison </w:t>
      </w:r>
    </w:p>
    <w:p w14:paraId="3118A745" w14:textId="77777777" w:rsidR="008A37EC" w:rsidRPr="000E57F5" w:rsidRDefault="008A37EC" w:rsidP="006F0C6A">
      <w:pPr>
        <w:pStyle w:val="SGBullet"/>
        <w:rPr>
          <w:rFonts w:ascii="Times New Roman" w:hAnsi="Times New Roman"/>
          <w:sz w:val="24"/>
          <w:szCs w:val="24"/>
          <w:lang w:eastAsia="en-GB"/>
        </w:rPr>
      </w:pPr>
      <w:r w:rsidRPr="000E57F5">
        <w:rPr>
          <w:sz w:val="24"/>
          <w:szCs w:val="24"/>
          <w:lang w:eastAsia="en-GB"/>
        </w:rPr>
        <w:t xml:space="preserve">Corrections (prisons) and social services staff may not support child contact, citing concerns about the prison environment and the risk of children’s acceptance of imprisonment as normal (though, the paper argues, this view is </w:t>
      </w:r>
      <w:r w:rsidRPr="000E57F5">
        <w:rPr>
          <w:sz w:val="24"/>
          <w:szCs w:val="24"/>
          <w:u w:val="single"/>
          <w:lang w:eastAsia="en-GB"/>
        </w:rPr>
        <w:t>not</w:t>
      </w:r>
      <w:r w:rsidRPr="000E57F5">
        <w:rPr>
          <w:sz w:val="24"/>
          <w:szCs w:val="24"/>
          <w:lang w:eastAsia="en-GB"/>
        </w:rPr>
        <w:t xml:space="preserve"> supported by evidence).</w:t>
      </w:r>
    </w:p>
    <w:p w14:paraId="19D5BDC9" w14:textId="77777777" w:rsidR="008A37EC" w:rsidRPr="008A37EC" w:rsidRDefault="008A37EC" w:rsidP="00402D02">
      <w:pPr>
        <w:pStyle w:val="SGBodytext"/>
      </w:pPr>
      <w:r w:rsidRPr="008A37EC">
        <w:t>The same paper cites research that reports separation from children as one of the most difficult aspects of imprisonment for women</w:t>
      </w:r>
      <w:r w:rsidRPr="008A37EC">
        <w:rPr>
          <w:vertAlign w:val="superscript"/>
        </w:rPr>
        <w:endnoteReference w:id="172"/>
      </w:r>
      <w:r w:rsidRPr="008A37EC">
        <w:t xml:space="preserve">, and </w:t>
      </w:r>
      <w:r w:rsidR="00AB71FB">
        <w:t xml:space="preserve">notes </w:t>
      </w:r>
      <w:r w:rsidRPr="008A37EC">
        <w:t xml:space="preserve">that family visits increase the likelihood of </w:t>
      </w:r>
      <w:r w:rsidR="009374ED">
        <w:t>families reuniting</w:t>
      </w:r>
      <w:r w:rsidRPr="008A37EC">
        <w:t xml:space="preserve"> post-release.  </w:t>
      </w:r>
    </w:p>
    <w:p w14:paraId="37DE98F1" w14:textId="77777777" w:rsidR="008A37EC" w:rsidRPr="008A37EC" w:rsidRDefault="008A37EC" w:rsidP="00402D02">
      <w:pPr>
        <w:pStyle w:val="SGBodytext"/>
        <w:rPr>
          <w:iCs/>
        </w:rPr>
      </w:pPr>
      <w:r w:rsidRPr="008A37EC">
        <w:t>More broadly speaking, evidence suggests that women’s relationships (with children, parents</w:t>
      </w:r>
      <w:r w:rsidR="00AB71FB">
        <w:t>,</w:t>
      </w:r>
      <w:r w:rsidRPr="008A37EC">
        <w:t xml:space="preserve"> partners</w:t>
      </w:r>
      <w:r w:rsidR="00AB71FB">
        <w:t>, peers etc.</w:t>
      </w:r>
      <w:r w:rsidRPr="008A37EC">
        <w:t>) are key to a women’s path to desistence</w:t>
      </w:r>
      <w:r w:rsidRPr="008A37EC">
        <w:rPr>
          <w:vertAlign w:val="superscript"/>
        </w:rPr>
        <w:endnoteReference w:id="173"/>
      </w:r>
      <w:r w:rsidRPr="008A37EC">
        <w:rPr>
          <w:vertAlign w:val="superscript"/>
        </w:rPr>
        <w:t>,</w:t>
      </w:r>
      <w:r w:rsidRPr="008A37EC">
        <w:rPr>
          <w:vertAlign w:val="superscript"/>
        </w:rPr>
        <w:endnoteReference w:id="174"/>
      </w:r>
      <w:r w:rsidRPr="008A37EC">
        <w:t>.  Rehabilitation often depends on the active support provided by family and close friends</w:t>
      </w:r>
      <w:r w:rsidRPr="008A37EC">
        <w:rPr>
          <w:vertAlign w:val="superscript"/>
        </w:rPr>
        <w:endnoteReference w:id="175"/>
      </w:r>
      <w:r w:rsidRPr="008A37EC">
        <w:t>; indeed p</w:t>
      </w:r>
      <w:r w:rsidRPr="008A37EC">
        <w:rPr>
          <w:color w:val="000000"/>
        </w:rPr>
        <w:t xml:space="preserve">risoners (both men and women) are </w:t>
      </w:r>
      <w:r w:rsidRPr="008A37EC">
        <w:rPr>
          <w:b/>
          <w:color w:val="000000"/>
        </w:rPr>
        <w:t>less likely to re-offend if good family relationships are maintained throughout their sentence</w:t>
      </w:r>
      <w:r w:rsidRPr="008A37EC">
        <w:rPr>
          <w:color w:val="000000"/>
          <w:vertAlign w:val="superscript"/>
        </w:rPr>
        <w:endnoteReference w:id="176"/>
      </w:r>
      <w:r w:rsidRPr="008A37EC">
        <w:rPr>
          <w:color w:val="000000"/>
        </w:rPr>
        <w:t xml:space="preserve">.  </w:t>
      </w:r>
      <w:r w:rsidRPr="008A37EC">
        <w:rPr>
          <w:iCs/>
        </w:rPr>
        <w:t>Although there is limited evidence on the impact of visits (on mothers and children), the Bartels &amp; Gaffney (2011) review</w:t>
      </w:r>
      <w:r w:rsidRPr="008A37EC">
        <w:rPr>
          <w:iCs/>
          <w:vertAlign w:val="superscript"/>
        </w:rPr>
        <w:endnoteReference w:id="177"/>
      </w:r>
      <w:r w:rsidRPr="008A37EC">
        <w:rPr>
          <w:iCs/>
        </w:rPr>
        <w:t xml:space="preserve"> cites a 2010 study that reported the positive effect of visits on recidivism, which found that those who received visits were less likely to reoffend than those who did not (52% compared to 70%).  </w:t>
      </w:r>
    </w:p>
    <w:p w14:paraId="719E35FB" w14:textId="77777777" w:rsidR="008A37EC" w:rsidRPr="008A37EC" w:rsidRDefault="008A37EC" w:rsidP="00402D02">
      <w:pPr>
        <w:pStyle w:val="SGBodytext"/>
      </w:pPr>
      <w:r w:rsidRPr="008A37EC">
        <w:rPr>
          <w:color w:val="000000"/>
        </w:rPr>
        <w:t xml:space="preserve">In terms of criminogenic needs, </w:t>
      </w:r>
      <w:r w:rsidRPr="004A40F5">
        <w:rPr>
          <w:b/>
        </w:rPr>
        <w:t>interpersonal needs related to the family is one the strongest predictors of positive outcomes for women offenders</w:t>
      </w:r>
      <w:r w:rsidRPr="008A37EC">
        <w:rPr>
          <w:vertAlign w:val="superscript"/>
        </w:rPr>
        <w:endnoteReference w:id="178"/>
      </w:r>
      <w:r w:rsidRPr="008A37EC">
        <w:t>.  One of the key factors, amongst others, that women offenders attribute desistence to is concern about the impact of their offending on others, particularly children</w:t>
      </w:r>
      <w:r w:rsidRPr="008A37EC">
        <w:rPr>
          <w:vertAlign w:val="superscript"/>
        </w:rPr>
        <w:endnoteReference w:id="179"/>
      </w:r>
      <w:r w:rsidRPr="008A37EC">
        <w:t>.</w:t>
      </w:r>
    </w:p>
    <w:p w14:paraId="5D89D59E" w14:textId="77777777" w:rsidR="008A37EC" w:rsidRPr="008A37EC" w:rsidRDefault="008A37EC" w:rsidP="00246F60">
      <w:pPr>
        <w:pStyle w:val="Heading3blue"/>
        <w:rPr>
          <w:rFonts w:eastAsiaTheme="majorEastAsia"/>
          <w:lang w:eastAsia="en-GB"/>
        </w:rPr>
      </w:pPr>
      <w:r w:rsidRPr="008A37EC">
        <w:rPr>
          <w:rFonts w:eastAsiaTheme="majorEastAsia"/>
          <w:lang w:eastAsia="en-GB"/>
        </w:rPr>
        <w:t xml:space="preserve">The post-release period and </w:t>
      </w:r>
      <w:r w:rsidR="00034677">
        <w:rPr>
          <w:rFonts w:eastAsiaTheme="majorEastAsia"/>
          <w:lang w:eastAsia="en-GB"/>
        </w:rPr>
        <w:t>reuniting</w:t>
      </w:r>
      <w:r w:rsidRPr="008A37EC">
        <w:rPr>
          <w:rFonts w:eastAsiaTheme="majorEastAsia"/>
          <w:lang w:eastAsia="en-GB"/>
        </w:rPr>
        <w:t xml:space="preserve"> of families</w:t>
      </w:r>
    </w:p>
    <w:p w14:paraId="0BD4FCEC" w14:textId="77777777" w:rsidR="008A37EC" w:rsidRPr="008A37EC" w:rsidRDefault="00034677" w:rsidP="00402D02">
      <w:pPr>
        <w:pStyle w:val="SGBodytext"/>
      </w:pPr>
      <w:r>
        <w:rPr>
          <w:b/>
        </w:rPr>
        <w:t>Families need support</w:t>
      </w:r>
      <w:r w:rsidR="008A37EC" w:rsidRPr="008A37EC">
        <w:t xml:space="preserve"> both during the prison sentence and after release when they may face a range of social, familial, personal and financial problems</w:t>
      </w:r>
      <w:r w:rsidR="008A37EC" w:rsidRPr="008A37EC">
        <w:rPr>
          <w:vertAlign w:val="superscript"/>
        </w:rPr>
        <w:endnoteReference w:id="180"/>
      </w:r>
      <w:r w:rsidR="008A37EC" w:rsidRPr="008A37EC">
        <w:t xml:space="preserve">.  For women with caring responsibilities, </w:t>
      </w:r>
      <w:r w:rsidR="008A37EC" w:rsidRPr="008A37EC">
        <w:rPr>
          <w:b/>
        </w:rPr>
        <w:t>resuming care of children can be difficult</w:t>
      </w:r>
      <w:r w:rsidR="008A37EC" w:rsidRPr="008A37EC">
        <w:t xml:space="preserve"> and present a financial strain which can impact on their successful resettlement</w:t>
      </w:r>
      <w:r w:rsidR="008A37EC" w:rsidRPr="008A37EC">
        <w:rPr>
          <w:vertAlign w:val="superscript"/>
        </w:rPr>
        <w:endnoteReference w:id="181"/>
      </w:r>
      <w:r w:rsidR="008A37EC" w:rsidRPr="008A37EC">
        <w:t xml:space="preserve">.  </w:t>
      </w:r>
    </w:p>
    <w:p w14:paraId="04F79A24" w14:textId="77777777" w:rsidR="008A37EC" w:rsidRPr="008A37EC" w:rsidRDefault="008A37EC" w:rsidP="00402D02">
      <w:pPr>
        <w:pStyle w:val="SGBodytext"/>
      </w:pPr>
      <w:r w:rsidRPr="008A37EC">
        <w:rPr>
          <w:b/>
        </w:rPr>
        <w:lastRenderedPageBreak/>
        <w:t>Housing difficulties</w:t>
      </w:r>
      <w:r w:rsidRPr="008A37EC">
        <w:t xml:space="preserve"> can exacerbate this stressful time; local authorities are naturally reluctant to relinquish care of children until women are seen to be able to provide adequate care.  This means that women may find they cannot resume care of their children until they have suitable accommodation</w:t>
      </w:r>
      <w:r w:rsidRPr="008A37EC">
        <w:rPr>
          <w:vertAlign w:val="superscript"/>
        </w:rPr>
        <w:endnoteReference w:id="182"/>
      </w:r>
      <w:r w:rsidRPr="008A37EC">
        <w:t>.  Given that women’s post-release accommodation is often unsuitable, unsafe and/or unstable</w:t>
      </w:r>
      <w:r w:rsidRPr="008A37EC">
        <w:rPr>
          <w:vertAlign w:val="superscript"/>
        </w:rPr>
        <w:endnoteReference w:id="183"/>
      </w:r>
      <w:r w:rsidRPr="008A37EC">
        <w:rPr>
          <w:vertAlign w:val="superscript"/>
        </w:rPr>
        <w:t>,</w:t>
      </w:r>
      <w:r w:rsidRPr="008A37EC">
        <w:rPr>
          <w:vertAlign w:val="superscript"/>
        </w:rPr>
        <w:endnoteReference w:id="184"/>
      </w:r>
      <w:r w:rsidRPr="008A37EC">
        <w:t xml:space="preserve"> (for women and children) this can be particularly challenging.  Lack of appropriate housing leads some women to return to unsafe living arrangements (e.g. to places where they have had prior experience of physical or sexual abuse</w:t>
      </w:r>
      <w:r w:rsidRPr="008A37EC">
        <w:rPr>
          <w:vertAlign w:val="superscript"/>
        </w:rPr>
        <w:endnoteReference w:id="185"/>
      </w:r>
      <w:r w:rsidRPr="008A37EC">
        <w:t xml:space="preserve">), or into temporary accommodation which can be situated in areas with high levels of drug use (increasing likelihood of relapse), poor transport links (increasing risk of isolation), and be unsuitable/unsafe for children.  </w:t>
      </w:r>
    </w:p>
    <w:p w14:paraId="29E11798" w14:textId="77777777" w:rsidR="008A37EC" w:rsidRPr="008A37EC" w:rsidRDefault="008A37EC" w:rsidP="00402D02">
      <w:pPr>
        <w:pStyle w:val="SGBodytext"/>
      </w:pPr>
      <w:r w:rsidRPr="008A37EC">
        <w:t>Clearly throughcare has a key role to play in addressing families’ immediate needs such as housing and welfare, but it could also extend to more specialis</w:t>
      </w:r>
      <w:r w:rsidR="00D71064">
        <w:t>t</w:t>
      </w:r>
      <w:r w:rsidRPr="008A37EC">
        <w:t xml:space="preserve"> services.  For example, some prisons (in Australia) have developed links with community services such as </w:t>
      </w:r>
      <w:r w:rsidRPr="008A37EC">
        <w:rPr>
          <w:b/>
        </w:rPr>
        <w:t>parent support programmes</w:t>
      </w:r>
      <w:r w:rsidRPr="008A37EC">
        <w:t xml:space="preserve"> which women can access on release from prison</w:t>
      </w:r>
      <w:r w:rsidRPr="008A37EC">
        <w:rPr>
          <w:vertAlign w:val="superscript"/>
        </w:rPr>
        <w:endnoteReference w:id="186"/>
      </w:r>
      <w:r w:rsidRPr="008A37EC">
        <w:t xml:space="preserve">.   </w:t>
      </w:r>
    </w:p>
    <w:p w14:paraId="3B52E4C1" w14:textId="77777777" w:rsidR="009374ED" w:rsidRDefault="00465088" w:rsidP="00402D02">
      <w:pPr>
        <w:pStyle w:val="SGBodytext"/>
        <w:rPr>
          <w:rFonts w:eastAsiaTheme="majorEastAsia"/>
          <w:b/>
          <w:color w:val="064367"/>
        </w:rPr>
      </w:pPr>
      <w:r w:rsidRPr="008A37EC">
        <w:t>A</w:t>
      </w:r>
      <w:r>
        <w:t xml:space="preserve"> further</w:t>
      </w:r>
      <w:r w:rsidRPr="008A37EC">
        <w:t xml:space="preserve"> </w:t>
      </w:r>
      <w:r w:rsidR="008A37EC" w:rsidRPr="008A37EC">
        <w:t>example is Harriet’s House</w:t>
      </w:r>
      <w:r w:rsidR="008A37EC" w:rsidRPr="008A37EC">
        <w:rPr>
          <w:vertAlign w:val="superscript"/>
        </w:rPr>
        <w:endnoteReference w:id="187"/>
      </w:r>
      <w:r w:rsidR="008A37EC" w:rsidRPr="008A37EC">
        <w:t xml:space="preserve"> in North Carolina, US, which runs a </w:t>
      </w:r>
      <w:r w:rsidR="008A37EC" w:rsidRPr="008A37EC">
        <w:rPr>
          <w:b/>
        </w:rPr>
        <w:t>two-year resettlement programme</w:t>
      </w:r>
      <w:r w:rsidR="008A37EC" w:rsidRPr="008A37EC">
        <w:t xml:space="preserve"> for female ex-offenders and their children.  This comprises of four phases.  In the first phase (‘supervised living’) women live in supervised housing for six months, and mothers have supervised visitation with their children; in the second phase (‘transitional living’) women move to a transitional living unit with their children to start the reunification process for 6-12 months; they then move onto ‘community living’ where women move into permanent housing with their children; finally, ‘aftercare’ continues for a further six months in which practitioners monitor women’s financial management, parenting skills, and their ability to remain drug/alcohol-free and maintain employment.  This model has been highly commended and </w:t>
      </w:r>
      <w:r w:rsidR="00EE636D">
        <w:t>claims</w:t>
      </w:r>
      <w:r w:rsidR="00EE636D" w:rsidRPr="008A37EC">
        <w:t xml:space="preserve"> </w:t>
      </w:r>
      <w:r w:rsidR="008A37EC" w:rsidRPr="008A37EC">
        <w:t>positive outcomes for women, including low recidivism rates (albeit with a small number of participants)</w:t>
      </w:r>
      <w:r w:rsidR="008A37EC" w:rsidRPr="008A37EC">
        <w:rPr>
          <w:vertAlign w:val="superscript"/>
        </w:rPr>
        <w:endnoteReference w:id="188"/>
      </w:r>
      <w:r w:rsidR="008A37EC" w:rsidRPr="008A37EC">
        <w:t>.</w:t>
      </w:r>
    </w:p>
    <w:p w14:paraId="761EA557" w14:textId="77777777" w:rsidR="008A37EC" w:rsidRPr="008A37EC" w:rsidRDefault="008A37EC" w:rsidP="00246F60">
      <w:pPr>
        <w:pStyle w:val="Heading3blue"/>
      </w:pPr>
      <w:r w:rsidRPr="008A37EC">
        <w:rPr>
          <w:rFonts w:eastAsiaTheme="majorEastAsia"/>
        </w:rPr>
        <w:t>Impact of maternal imprisonment on children</w:t>
      </w:r>
    </w:p>
    <w:p w14:paraId="10B9E3A8" w14:textId="77777777" w:rsidR="008A37EC" w:rsidRPr="008A37EC" w:rsidRDefault="008A37EC" w:rsidP="00402D02">
      <w:pPr>
        <w:pStyle w:val="SGBodytext"/>
      </w:pPr>
      <w:r w:rsidRPr="008A37EC">
        <w:t xml:space="preserve">The impact of maternal imprisonment on children </w:t>
      </w:r>
      <w:r w:rsidR="00272DB1">
        <w:t xml:space="preserve">has not received </w:t>
      </w:r>
      <w:r w:rsidR="00465088">
        <w:t xml:space="preserve">a huge amount of </w:t>
      </w:r>
      <w:r w:rsidR="00272DB1">
        <w:t>attention</w:t>
      </w:r>
      <w:r w:rsidRPr="008A37EC">
        <w:rPr>
          <w:vertAlign w:val="superscript"/>
        </w:rPr>
        <w:endnoteReference w:id="189"/>
      </w:r>
      <w:r w:rsidRPr="008A37EC">
        <w:t xml:space="preserve">.  However, a growing body of evidence is </w:t>
      </w:r>
      <w:r w:rsidR="00465088">
        <w:t xml:space="preserve">now </w:t>
      </w:r>
      <w:r w:rsidRPr="008A37EC">
        <w:t>emerging</w:t>
      </w:r>
      <w:r w:rsidRPr="008A37EC">
        <w:rPr>
          <w:vertAlign w:val="superscript"/>
        </w:rPr>
        <w:endnoteReference w:id="190"/>
      </w:r>
      <w:r w:rsidRPr="008A37EC">
        <w:rPr>
          <w:vertAlign w:val="superscript"/>
        </w:rPr>
        <w:t>,</w:t>
      </w:r>
      <w:r w:rsidRPr="008A37EC">
        <w:rPr>
          <w:vertAlign w:val="superscript"/>
        </w:rPr>
        <w:endnoteReference w:id="191"/>
      </w:r>
      <w:r w:rsidRPr="008A37EC">
        <w:t>:</w:t>
      </w:r>
    </w:p>
    <w:p w14:paraId="465F70FC" w14:textId="77777777" w:rsidR="008A37EC" w:rsidRPr="00A32EC2" w:rsidRDefault="008A37EC" w:rsidP="00A32EC2">
      <w:pPr>
        <w:pStyle w:val="SGBodyIndent"/>
        <w:rPr>
          <w:sz w:val="24"/>
          <w:szCs w:val="24"/>
        </w:rPr>
      </w:pPr>
      <w:r w:rsidRPr="00A32EC2">
        <w:rPr>
          <w:sz w:val="24"/>
          <w:szCs w:val="24"/>
        </w:rPr>
        <w:t>“Separation from a parent, particularly a mother, who is held a long way from home, can be likened to the trauma of bereavement, with children of offenders being more likely to go on to commit crimes themselves. There is also a lack of financial and practical support for family members looking after children with a parent in prison, little understanding of the impact of feelings of shame, and the possibility of bullying. For mothers in prison, separation from children and other family members can lead to the breakdown of potentially supportive relationships”. (PRT, 2014, p80)</w:t>
      </w:r>
    </w:p>
    <w:p w14:paraId="567E3BED" w14:textId="77777777" w:rsidR="008A37EC" w:rsidRPr="008A37EC" w:rsidRDefault="008A37EC" w:rsidP="00402D02">
      <w:pPr>
        <w:pStyle w:val="SGBodytext"/>
      </w:pPr>
      <w:r w:rsidRPr="008A37EC">
        <w:t xml:space="preserve">There is some </w:t>
      </w:r>
      <w:r w:rsidR="00272DB1">
        <w:t xml:space="preserve">(albeit limited) </w:t>
      </w:r>
      <w:r w:rsidRPr="008A37EC">
        <w:t xml:space="preserve">evidence that the </w:t>
      </w:r>
      <w:r w:rsidRPr="008A37EC">
        <w:rPr>
          <w:b/>
        </w:rPr>
        <w:t>detrimental impact</w:t>
      </w:r>
      <w:r w:rsidRPr="008A37EC">
        <w:t xml:space="preserve"> on children of parental imprisonment is </w:t>
      </w:r>
      <w:r w:rsidRPr="008A37EC">
        <w:rPr>
          <w:b/>
        </w:rPr>
        <w:t>more pronounced when the mother (rather than the father) is imprisoned</w:t>
      </w:r>
      <w:r w:rsidRPr="008A37EC">
        <w:t>, given that mothers are more likely to have parenting responsibilities</w:t>
      </w:r>
      <w:r w:rsidRPr="008A37EC">
        <w:rPr>
          <w:vertAlign w:val="superscript"/>
        </w:rPr>
        <w:endnoteReference w:id="192"/>
      </w:r>
      <w:r w:rsidRPr="008A37EC">
        <w:rPr>
          <w:vertAlign w:val="superscript"/>
        </w:rPr>
        <w:t>,</w:t>
      </w:r>
      <w:r w:rsidRPr="008A37EC">
        <w:rPr>
          <w:rFonts w:eastAsiaTheme="majorEastAsia"/>
          <w:vertAlign w:val="superscript"/>
        </w:rPr>
        <w:endnoteReference w:id="193"/>
      </w:r>
      <w:r w:rsidRPr="008A37EC">
        <w:rPr>
          <w:vertAlign w:val="superscript"/>
        </w:rPr>
        <w:t>,</w:t>
      </w:r>
      <w:r w:rsidRPr="008A37EC">
        <w:rPr>
          <w:vertAlign w:val="superscript"/>
        </w:rPr>
        <w:endnoteReference w:id="194"/>
      </w:r>
      <w:r w:rsidRPr="008A37EC">
        <w:t>.  A UK (Action for Prisoners’ Families) briefing</w:t>
      </w:r>
      <w:r w:rsidRPr="008A37EC">
        <w:rPr>
          <w:vertAlign w:val="superscript"/>
        </w:rPr>
        <w:endnoteReference w:id="195"/>
      </w:r>
      <w:r w:rsidRPr="008A37EC">
        <w:t>, drawing on data from various sources, reports that children of female prisoners are five times more likely to be taken into care on imprisonment than children of male prisoners (see below).  The report also states that:</w:t>
      </w:r>
    </w:p>
    <w:p w14:paraId="43CDDEC5" w14:textId="77777777" w:rsidR="008A37EC" w:rsidRPr="000E57F5" w:rsidRDefault="008A37EC" w:rsidP="006F0C6A">
      <w:pPr>
        <w:pStyle w:val="SGBullet"/>
        <w:rPr>
          <w:sz w:val="24"/>
          <w:szCs w:val="24"/>
          <w:lang w:eastAsia="en-GB"/>
        </w:rPr>
      </w:pPr>
      <w:r w:rsidRPr="000E57F5">
        <w:rPr>
          <w:sz w:val="24"/>
          <w:szCs w:val="24"/>
          <w:lang w:eastAsia="en-GB"/>
        </w:rPr>
        <w:t>Only 5% of children stay in their own homes once their mother has been imprisoned</w:t>
      </w:r>
    </w:p>
    <w:p w14:paraId="4BE80614" w14:textId="77777777" w:rsidR="008A37EC" w:rsidRPr="000E57F5" w:rsidRDefault="008A37EC" w:rsidP="006F0C6A">
      <w:pPr>
        <w:pStyle w:val="SGBullet"/>
        <w:rPr>
          <w:sz w:val="24"/>
          <w:szCs w:val="24"/>
          <w:lang w:eastAsia="en-GB"/>
        </w:rPr>
      </w:pPr>
      <w:r w:rsidRPr="000E57F5">
        <w:rPr>
          <w:sz w:val="24"/>
          <w:szCs w:val="24"/>
          <w:lang w:eastAsia="en-GB"/>
        </w:rPr>
        <w:lastRenderedPageBreak/>
        <w:t>In 2004, 92% of fathers in prison said their partner was looking after the children, compared to 25% of mothers</w:t>
      </w:r>
    </w:p>
    <w:p w14:paraId="1F3E174B" w14:textId="77777777" w:rsidR="008A37EC" w:rsidRPr="000E57F5" w:rsidRDefault="008A37EC" w:rsidP="006F0C6A">
      <w:pPr>
        <w:pStyle w:val="SGBullet"/>
        <w:rPr>
          <w:sz w:val="24"/>
          <w:szCs w:val="24"/>
          <w:lang w:eastAsia="en-GB"/>
        </w:rPr>
      </w:pPr>
      <w:r w:rsidRPr="000E57F5">
        <w:rPr>
          <w:sz w:val="24"/>
          <w:szCs w:val="24"/>
          <w:lang w:eastAsia="en-GB"/>
        </w:rPr>
        <w:t xml:space="preserve">Upon imprisonment of their mother, 25% of children are looked after by their fathers or their mother’s spouse/partner, 25% by their grandparents, 29% are looked after by other friends and family members and 12% are adopted or fostered (compared to 2% of children of male prisoners). </w:t>
      </w:r>
    </w:p>
    <w:p w14:paraId="2C104C8C" w14:textId="77777777" w:rsidR="008A37EC" w:rsidRPr="008A37EC" w:rsidRDefault="008A37EC" w:rsidP="00402D02">
      <w:pPr>
        <w:pStyle w:val="SGBodytext"/>
      </w:pPr>
      <w:r w:rsidRPr="008A37EC">
        <w:t>Imprisonment of a parent can result in reduced family income, home and school moves, disrupted relationships, stigma, shame and less social support all of which impact on children</w:t>
      </w:r>
      <w:r w:rsidRPr="008A37EC">
        <w:rPr>
          <w:vertAlign w:val="superscript"/>
        </w:rPr>
        <w:endnoteReference w:id="196"/>
      </w:r>
      <w:r w:rsidRPr="008A37EC">
        <w:t xml:space="preserve">.  Other </w:t>
      </w:r>
      <w:r w:rsidRPr="008A37EC">
        <w:rPr>
          <w:b/>
        </w:rPr>
        <w:t xml:space="preserve">impacts </w:t>
      </w:r>
      <w:r w:rsidRPr="008A37EC">
        <w:t>include:</w:t>
      </w:r>
    </w:p>
    <w:p w14:paraId="08556876" w14:textId="77777777" w:rsidR="008A37EC" w:rsidRPr="000E57F5" w:rsidRDefault="008A37EC" w:rsidP="006F0C6A">
      <w:pPr>
        <w:pStyle w:val="SGBullet"/>
        <w:rPr>
          <w:sz w:val="24"/>
          <w:szCs w:val="24"/>
          <w:lang w:eastAsia="en-GB"/>
        </w:rPr>
      </w:pPr>
      <w:r w:rsidRPr="000E57F5">
        <w:rPr>
          <w:sz w:val="24"/>
          <w:szCs w:val="24"/>
          <w:lang w:eastAsia="en-GB"/>
        </w:rPr>
        <w:t>Increased risk of mental health problems – it is reported that 30% of children with a parent in prison experience mental health problems</w:t>
      </w:r>
      <w:r w:rsidRPr="000E57F5">
        <w:rPr>
          <w:sz w:val="24"/>
          <w:szCs w:val="24"/>
          <w:vertAlign w:val="superscript"/>
          <w:lang w:eastAsia="en-GB"/>
        </w:rPr>
        <w:endnoteReference w:id="197"/>
      </w:r>
    </w:p>
    <w:p w14:paraId="4F9522ED" w14:textId="77777777" w:rsidR="008A37EC" w:rsidRPr="000E57F5" w:rsidRDefault="008A37EC" w:rsidP="006F0C6A">
      <w:pPr>
        <w:pStyle w:val="SGBullet"/>
        <w:rPr>
          <w:sz w:val="24"/>
          <w:szCs w:val="24"/>
          <w:lang w:eastAsia="en-GB"/>
        </w:rPr>
      </w:pPr>
      <w:r w:rsidRPr="000E57F5">
        <w:rPr>
          <w:sz w:val="24"/>
          <w:szCs w:val="24"/>
          <w:lang w:eastAsia="en-GB"/>
        </w:rPr>
        <w:t>Behavioural and emotional problems</w:t>
      </w:r>
      <w:r w:rsidRPr="000E57F5">
        <w:rPr>
          <w:sz w:val="24"/>
          <w:szCs w:val="24"/>
          <w:vertAlign w:val="superscript"/>
          <w:lang w:eastAsia="en-GB"/>
        </w:rPr>
        <w:endnoteReference w:id="198"/>
      </w:r>
      <w:r w:rsidRPr="000E57F5">
        <w:rPr>
          <w:sz w:val="24"/>
          <w:szCs w:val="24"/>
          <w:lang w:eastAsia="en-GB"/>
        </w:rPr>
        <w:t xml:space="preserve"> including traumatic stress responses</w:t>
      </w:r>
      <w:r w:rsidRPr="000E57F5">
        <w:rPr>
          <w:sz w:val="24"/>
          <w:szCs w:val="24"/>
          <w:vertAlign w:val="superscript"/>
          <w:lang w:eastAsia="en-GB"/>
        </w:rPr>
        <w:endnoteReference w:id="199"/>
      </w:r>
      <w:r w:rsidRPr="000E57F5">
        <w:rPr>
          <w:sz w:val="24"/>
          <w:szCs w:val="24"/>
          <w:lang w:eastAsia="en-GB"/>
        </w:rPr>
        <w:t>, anxiety, and depression</w:t>
      </w:r>
      <w:r w:rsidRPr="000E57F5">
        <w:rPr>
          <w:sz w:val="24"/>
          <w:szCs w:val="24"/>
          <w:vertAlign w:val="superscript"/>
          <w:lang w:eastAsia="en-GB"/>
        </w:rPr>
        <w:endnoteReference w:id="200"/>
      </w:r>
      <w:r w:rsidRPr="000E57F5">
        <w:rPr>
          <w:sz w:val="24"/>
          <w:szCs w:val="24"/>
          <w:lang w:eastAsia="en-GB"/>
        </w:rPr>
        <w:t xml:space="preserve"> (as well as social isolation, self-destructive behaviour &amp; low self-esteem</w:t>
      </w:r>
      <w:r w:rsidRPr="000E57F5">
        <w:rPr>
          <w:sz w:val="24"/>
          <w:szCs w:val="24"/>
          <w:vertAlign w:val="superscript"/>
          <w:lang w:eastAsia="en-GB"/>
        </w:rPr>
        <w:endnoteReference w:id="201"/>
      </w:r>
      <w:r w:rsidRPr="000E57F5">
        <w:rPr>
          <w:sz w:val="24"/>
          <w:szCs w:val="24"/>
          <w:lang w:eastAsia="en-GB"/>
        </w:rPr>
        <w:t>)</w:t>
      </w:r>
    </w:p>
    <w:p w14:paraId="2769B072" w14:textId="77777777" w:rsidR="008A37EC" w:rsidRPr="000E57F5" w:rsidRDefault="008A37EC" w:rsidP="006F0C6A">
      <w:pPr>
        <w:pStyle w:val="SGBullet"/>
        <w:rPr>
          <w:sz w:val="24"/>
          <w:szCs w:val="24"/>
          <w:lang w:eastAsia="en-GB"/>
        </w:rPr>
      </w:pPr>
      <w:r w:rsidRPr="000E57F5">
        <w:rPr>
          <w:sz w:val="24"/>
          <w:szCs w:val="24"/>
          <w:lang w:eastAsia="en-GB"/>
        </w:rPr>
        <w:t>Poor academic performance</w:t>
      </w:r>
      <w:r w:rsidRPr="000E57F5">
        <w:rPr>
          <w:sz w:val="24"/>
          <w:szCs w:val="24"/>
          <w:vertAlign w:val="superscript"/>
          <w:lang w:eastAsia="en-GB"/>
        </w:rPr>
        <w:endnoteReference w:id="202"/>
      </w:r>
      <w:r w:rsidRPr="000E57F5">
        <w:rPr>
          <w:sz w:val="24"/>
          <w:szCs w:val="24"/>
          <w:vertAlign w:val="superscript"/>
          <w:lang w:eastAsia="en-GB"/>
        </w:rPr>
        <w:t>,</w:t>
      </w:r>
      <w:r w:rsidRPr="000E57F5">
        <w:rPr>
          <w:sz w:val="24"/>
          <w:szCs w:val="24"/>
          <w:vertAlign w:val="superscript"/>
          <w:lang w:eastAsia="en-GB"/>
        </w:rPr>
        <w:endnoteReference w:id="203"/>
      </w:r>
      <w:r w:rsidRPr="000E57F5">
        <w:rPr>
          <w:sz w:val="24"/>
          <w:szCs w:val="24"/>
          <w:lang w:eastAsia="en-GB"/>
        </w:rPr>
        <w:t xml:space="preserve"> </w:t>
      </w:r>
    </w:p>
    <w:p w14:paraId="1CA2D0CB" w14:textId="77777777" w:rsidR="008A37EC" w:rsidRPr="000E57F5" w:rsidRDefault="008A37EC" w:rsidP="006F0C6A">
      <w:pPr>
        <w:pStyle w:val="SGBullet"/>
        <w:rPr>
          <w:sz w:val="24"/>
          <w:szCs w:val="24"/>
          <w:lang w:eastAsia="en-GB"/>
        </w:rPr>
      </w:pPr>
      <w:r w:rsidRPr="000E57F5">
        <w:rPr>
          <w:sz w:val="24"/>
          <w:szCs w:val="24"/>
          <w:lang w:eastAsia="en-GB"/>
        </w:rPr>
        <w:t>Greater risk of being Not in Education, Employment or Training (NEET) as adults (risk is greater for children of imprisoned mothers rather than fathers)</w:t>
      </w:r>
      <w:r w:rsidRPr="000E57F5">
        <w:rPr>
          <w:sz w:val="24"/>
          <w:szCs w:val="24"/>
          <w:vertAlign w:val="superscript"/>
          <w:lang w:eastAsia="en-GB"/>
        </w:rPr>
        <w:endnoteReference w:id="204"/>
      </w:r>
    </w:p>
    <w:p w14:paraId="2D30CB3F" w14:textId="77777777" w:rsidR="008A37EC" w:rsidRPr="000E57F5" w:rsidRDefault="008A37EC" w:rsidP="006F0C6A">
      <w:pPr>
        <w:pStyle w:val="SGBullet"/>
        <w:rPr>
          <w:sz w:val="24"/>
          <w:szCs w:val="24"/>
          <w:lang w:eastAsia="en-GB"/>
        </w:rPr>
      </w:pPr>
      <w:r w:rsidRPr="000E57F5">
        <w:rPr>
          <w:sz w:val="24"/>
          <w:szCs w:val="24"/>
          <w:lang w:eastAsia="en-GB"/>
        </w:rPr>
        <w:t xml:space="preserve">Increased risk of delinquency and </w:t>
      </w:r>
      <w:r w:rsidR="00465088" w:rsidRPr="000E57F5">
        <w:rPr>
          <w:sz w:val="24"/>
          <w:szCs w:val="24"/>
          <w:lang w:eastAsia="en-GB"/>
        </w:rPr>
        <w:t xml:space="preserve">involvement </w:t>
      </w:r>
      <w:r w:rsidRPr="000E57F5">
        <w:rPr>
          <w:sz w:val="24"/>
          <w:szCs w:val="24"/>
          <w:lang w:eastAsia="en-GB"/>
        </w:rPr>
        <w:t>with the criminal justice system</w:t>
      </w:r>
      <w:r w:rsidRPr="000E57F5">
        <w:rPr>
          <w:sz w:val="24"/>
          <w:szCs w:val="24"/>
          <w:vertAlign w:val="superscript"/>
          <w:lang w:eastAsia="en-GB"/>
        </w:rPr>
        <w:endnoteReference w:id="205"/>
      </w:r>
      <w:r w:rsidR="00465088" w:rsidRPr="000E57F5">
        <w:rPr>
          <w:sz w:val="24"/>
          <w:szCs w:val="24"/>
          <w:vertAlign w:val="superscript"/>
          <w:lang w:eastAsia="en-GB"/>
        </w:rPr>
        <w:t>,</w:t>
      </w:r>
      <w:r w:rsidR="00465088" w:rsidRPr="000E57F5">
        <w:rPr>
          <w:sz w:val="24"/>
          <w:szCs w:val="24"/>
          <w:vertAlign w:val="superscript"/>
          <w:lang w:eastAsia="en-GB"/>
        </w:rPr>
        <w:endnoteReference w:id="206"/>
      </w:r>
      <w:r w:rsidRPr="000E57F5">
        <w:rPr>
          <w:sz w:val="24"/>
          <w:szCs w:val="24"/>
          <w:lang w:eastAsia="en-GB"/>
        </w:rPr>
        <w:t xml:space="preserve">  </w:t>
      </w:r>
    </w:p>
    <w:p w14:paraId="43F1FF03" w14:textId="77777777" w:rsidR="008A37EC" w:rsidRPr="000E57F5" w:rsidRDefault="008A37EC" w:rsidP="006F0C6A">
      <w:pPr>
        <w:pStyle w:val="SGBullet"/>
        <w:rPr>
          <w:sz w:val="24"/>
          <w:szCs w:val="24"/>
          <w:lang w:eastAsia="en-GB"/>
        </w:rPr>
      </w:pPr>
      <w:r w:rsidRPr="000E57F5">
        <w:rPr>
          <w:sz w:val="24"/>
          <w:szCs w:val="24"/>
          <w:lang w:eastAsia="en-GB"/>
        </w:rPr>
        <w:t>It is estimated that children of prisoners are three times more likely to participate in anti-social and delinquent behaviour as other children</w:t>
      </w:r>
      <w:r w:rsidRPr="000E57F5">
        <w:rPr>
          <w:sz w:val="24"/>
          <w:szCs w:val="24"/>
          <w:vertAlign w:val="superscript"/>
          <w:lang w:eastAsia="en-GB"/>
        </w:rPr>
        <w:endnoteReference w:id="207"/>
      </w:r>
    </w:p>
    <w:p w14:paraId="35D0E8BD" w14:textId="77777777" w:rsidR="008A37EC" w:rsidRPr="008A37EC" w:rsidRDefault="008A37EC" w:rsidP="00402D02">
      <w:pPr>
        <w:pStyle w:val="SGBodytext"/>
        <w:rPr>
          <w:color w:val="000000"/>
        </w:rPr>
      </w:pPr>
      <w:r w:rsidRPr="008A37EC">
        <w:t>The extent of these impacts depends on a range of factors including age of the child, length of mother’s sentence (the longer the sentence the more detrimental), the nature of the mother-child relationship prior to incarceration, the ability of mothers to maintain contact whilst in prison, the quality of children’s care arrangements, and the type of support offered to families</w:t>
      </w:r>
      <w:r w:rsidRPr="008A37EC">
        <w:rPr>
          <w:vertAlign w:val="superscript"/>
        </w:rPr>
        <w:endnoteReference w:id="208"/>
      </w:r>
      <w:r w:rsidRPr="008A37EC">
        <w:t xml:space="preserve">.  </w:t>
      </w:r>
    </w:p>
    <w:p w14:paraId="2A7D5B8D" w14:textId="77777777" w:rsidR="008A37EC" w:rsidRPr="008A37EC" w:rsidRDefault="008A37EC" w:rsidP="00402D02">
      <w:pPr>
        <w:pStyle w:val="SGBodytext"/>
      </w:pPr>
      <w:r w:rsidRPr="008A37EC">
        <w:t xml:space="preserve">Research on </w:t>
      </w:r>
      <w:r w:rsidRPr="008A37EC">
        <w:rPr>
          <w:b/>
        </w:rPr>
        <w:t xml:space="preserve">children’s experiences of maternal </w:t>
      </w:r>
      <w:r w:rsidR="00E1406D">
        <w:rPr>
          <w:b/>
        </w:rPr>
        <w:t>imprisonment</w:t>
      </w:r>
      <w:r w:rsidRPr="008A37EC">
        <w:t xml:space="preserve"> is limited</w:t>
      </w:r>
      <w:r w:rsidR="00272DB1">
        <w:rPr>
          <w:rStyle w:val="FootnoteReference"/>
        </w:rPr>
        <w:footnoteReference w:id="27"/>
      </w:r>
      <w:r w:rsidRPr="008A37EC">
        <w:t>.  The Action for Families of Prisoners briefing references research on children of fathers in prison which reports that prison visits can be distressing for children, stating that “l</w:t>
      </w:r>
      <w:r w:rsidRPr="008A37EC">
        <w:rPr>
          <w:color w:val="000000"/>
        </w:rPr>
        <w:t>ong journeys, waiting at the prison gates, searches and sniffer dogs, an environment where physical contact or play is difficult, can all exacerbate the problem”</w:t>
      </w:r>
      <w:r w:rsidRPr="008A37EC">
        <w:rPr>
          <w:vertAlign w:val="superscript"/>
        </w:rPr>
        <w:t xml:space="preserve"> </w:t>
      </w:r>
      <w:r w:rsidRPr="008A37EC">
        <w:rPr>
          <w:vertAlign w:val="superscript"/>
        </w:rPr>
        <w:endnoteReference w:id="209"/>
      </w:r>
      <w:r w:rsidRPr="008A37EC">
        <w:rPr>
          <w:color w:val="000000"/>
        </w:rPr>
        <w:t>.</w:t>
      </w:r>
    </w:p>
    <w:p w14:paraId="262DEF3D" w14:textId="77777777" w:rsidR="008A37EC" w:rsidRPr="008A37EC" w:rsidRDefault="008A37EC" w:rsidP="00246F60">
      <w:pPr>
        <w:pStyle w:val="Heading3blue"/>
        <w:rPr>
          <w:rFonts w:eastAsiaTheme="majorEastAsia"/>
        </w:rPr>
      </w:pPr>
      <w:r w:rsidRPr="008A37EC">
        <w:rPr>
          <w:rFonts w:eastAsiaTheme="majorEastAsia"/>
        </w:rPr>
        <w:t>International approaches to parental responsibilities</w:t>
      </w:r>
    </w:p>
    <w:p w14:paraId="4B3FC7C8" w14:textId="77777777" w:rsidR="008A37EC" w:rsidRPr="008A37EC" w:rsidRDefault="008A37EC" w:rsidP="00402D02">
      <w:pPr>
        <w:pStyle w:val="SGBodytext"/>
      </w:pPr>
      <w:r w:rsidRPr="00FC06EC">
        <w:t xml:space="preserve">Countries vary considerably in how </w:t>
      </w:r>
      <w:r w:rsidR="00FC06EC">
        <w:t>mother-child contact is enabled</w:t>
      </w:r>
      <w:r w:rsidRPr="00FC06EC">
        <w:t xml:space="preserve">. </w:t>
      </w:r>
      <w:r w:rsidR="00FC06EC">
        <w:t xml:space="preserve"> </w:t>
      </w:r>
      <w:r w:rsidRPr="00FC06EC">
        <w:t xml:space="preserve">Whilst many countries allow </w:t>
      </w:r>
      <w:r w:rsidR="00FC06EC" w:rsidRPr="00FC06EC">
        <w:t xml:space="preserve">young </w:t>
      </w:r>
      <w:r w:rsidRPr="00FC06EC">
        <w:t xml:space="preserve">children to </w:t>
      </w:r>
      <w:r w:rsidR="00FC06EC" w:rsidRPr="00FC06EC">
        <w:t>reside</w:t>
      </w:r>
      <w:r w:rsidRPr="00FC06EC">
        <w:t xml:space="preserve"> with their mothers</w:t>
      </w:r>
      <w:r w:rsidR="00FC06EC" w:rsidRPr="00FC06EC">
        <w:t xml:space="preserve"> in prison</w:t>
      </w:r>
      <w:r w:rsidRPr="00FC06EC">
        <w:t>, th</w:t>
      </w:r>
      <w:r w:rsidR="00FC06EC" w:rsidRPr="00FC06EC">
        <w:t xml:space="preserve">e maximum age of children varies, </w:t>
      </w:r>
      <w:r w:rsidRPr="00FC06EC">
        <w:t>from 12 months in Sweden to three years in Spain and Denmark.  In some countries it varies between</w:t>
      </w:r>
      <w:r w:rsidRPr="008A37EC">
        <w:t xml:space="preserve"> states and individual prisons.  For example, it is </w:t>
      </w:r>
      <w:r w:rsidR="00FC06EC" w:rsidRPr="008A37EC">
        <w:t xml:space="preserve">six years in one state in Germany </w:t>
      </w:r>
      <w:r w:rsidR="00FC06EC">
        <w:t xml:space="preserve">and </w:t>
      </w:r>
      <w:r w:rsidRPr="008A37EC">
        <w:t>four years in one prison in Western Australia</w:t>
      </w:r>
      <w:r w:rsidRPr="008A37EC">
        <w:rPr>
          <w:vertAlign w:val="superscript"/>
        </w:rPr>
        <w:endnoteReference w:id="210"/>
      </w:r>
      <w:r w:rsidRPr="008A37EC">
        <w:t>.</w:t>
      </w:r>
    </w:p>
    <w:p w14:paraId="68E02E94" w14:textId="77777777" w:rsidR="008A37EC" w:rsidRPr="008A37EC" w:rsidRDefault="008A37EC" w:rsidP="00402D02">
      <w:pPr>
        <w:pStyle w:val="SGBodytext"/>
      </w:pPr>
      <w:r w:rsidRPr="008A37EC">
        <w:rPr>
          <w:b/>
        </w:rPr>
        <w:t>Germany</w:t>
      </w:r>
      <w:r w:rsidRPr="008A37EC">
        <w:t xml:space="preserve">, which is reported to have the most child-centred approach, has implemented some innovative approaches for women offenders with children. These include allowing </w:t>
      </w:r>
      <w:r w:rsidRPr="008A37EC">
        <w:lastRenderedPageBreak/>
        <w:t>women 21 days leave per year to maintain contact with their children, and providing half-way houses where women can live with their children up to the age of 6, working in the community while their children attend school/nursery during the day</w:t>
      </w:r>
      <w:r w:rsidRPr="008A37EC">
        <w:rPr>
          <w:vertAlign w:val="superscript"/>
        </w:rPr>
        <w:endnoteReference w:id="211"/>
      </w:r>
      <w:r w:rsidRPr="008A37EC">
        <w:t xml:space="preserve">.  As noted </w:t>
      </w:r>
      <w:r w:rsidR="00095D55">
        <w:t>earlier</w:t>
      </w:r>
      <w:r w:rsidRPr="008A37EC">
        <w:t>, Frondenberg prison is an open unit for up to 16 women (most of whom have committed theft or fraud) who live with their children in self-contained flats.  Women are able to go outside and play with their children, and have ‘vacation’ days where they can leave the prison unsupervised.  Numbers of residents are limited, however, due to costs</w:t>
      </w:r>
      <w:r w:rsidRPr="008A37EC">
        <w:rPr>
          <w:vertAlign w:val="superscript"/>
        </w:rPr>
        <w:endnoteReference w:id="212"/>
      </w:r>
      <w:r w:rsidRPr="008A37EC">
        <w:t>.  Germany also has a number of mother and baby units where children can live with their mother until the age of three.</w:t>
      </w:r>
    </w:p>
    <w:p w14:paraId="7B67C552" w14:textId="77777777" w:rsidR="008A37EC" w:rsidRPr="008A37EC" w:rsidRDefault="008A37EC" w:rsidP="00402D02">
      <w:pPr>
        <w:pStyle w:val="SGBodytext"/>
      </w:pPr>
      <w:r w:rsidRPr="008A37EC">
        <w:t xml:space="preserve">In </w:t>
      </w:r>
      <w:r w:rsidRPr="008A37EC">
        <w:rPr>
          <w:b/>
        </w:rPr>
        <w:t>Denmark</w:t>
      </w:r>
      <w:r w:rsidRPr="008A37EC">
        <w:t>, if the local authority deems the mother fit to care for the child, it is the mother’s decision whether to have her child with her or not.  Children may remain with their mother (or father) until aged three, after which every effort is made not to separate the child from his/her mother e.g. mother and child may be moved to a halfway house in Copenhagen (depending on sentence length)</w:t>
      </w:r>
      <w:r w:rsidRPr="008A37EC">
        <w:rPr>
          <w:vertAlign w:val="superscript"/>
        </w:rPr>
        <w:endnoteReference w:id="213"/>
      </w:r>
      <w:r w:rsidRPr="008A37EC">
        <w:t>.  If a couple is in prison they are both allowed to stay in a unit together.</w:t>
      </w:r>
    </w:p>
    <w:p w14:paraId="5709C7A9" w14:textId="77777777" w:rsidR="008A37EC" w:rsidRPr="008A37EC" w:rsidRDefault="008A37EC" w:rsidP="00402D02">
      <w:pPr>
        <w:pStyle w:val="SGBodytext"/>
      </w:pPr>
      <w:r w:rsidRPr="008A37EC">
        <w:t xml:space="preserve">Even where women are held in secure prisons, several countries strive to maintain a mother’s contact with her children.  For example the large women’s prison in </w:t>
      </w:r>
      <w:r w:rsidRPr="008A37EC">
        <w:rPr>
          <w:b/>
        </w:rPr>
        <w:t>Sweden</w:t>
      </w:r>
      <w:r w:rsidRPr="008A37EC">
        <w:t xml:space="preserve"> </w:t>
      </w:r>
      <w:r w:rsidR="00095D55" w:rsidRPr="008A37EC">
        <w:t xml:space="preserve">(Hinseberg) </w:t>
      </w:r>
      <w:r w:rsidRPr="008A37EC">
        <w:t>has a flat where children can have overnight stays</w:t>
      </w:r>
      <w:r w:rsidRPr="008A37EC">
        <w:rPr>
          <w:vertAlign w:val="superscript"/>
        </w:rPr>
        <w:endnoteReference w:id="214"/>
      </w:r>
      <w:r w:rsidRPr="008A37EC">
        <w:t xml:space="preserve">.  </w:t>
      </w:r>
    </w:p>
    <w:p w14:paraId="2D3D7563" w14:textId="77777777" w:rsidR="008A37EC" w:rsidRPr="008A37EC" w:rsidRDefault="008A37EC" w:rsidP="00402D02">
      <w:pPr>
        <w:pStyle w:val="SGBodytext"/>
      </w:pPr>
      <w:r w:rsidRPr="008A37EC">
        <w:rPr>
          <w:b/>
        </w:rPr>
        <w:t>Norway</w:t>
      </w:r>
      <w:r w:rsidRPr="008A37EC">
        <w:t xml:space="preserve"> offers similar facilities in its larger prisons e.g. Bredtveit has an apartment for overnight stays (where it is in the best interests of the child).  However, unlike other European countries, children are not allowed to reside in prison with their mothers</w:t>
      </w:r>
      <w:r w:rsidRPr="008A37EC">
        <w:rPr>
          <w:vertAlign w:val="superscript"/>
        </w:rPr>
        <w:endnoteReference w:id="215"/>
      </w:r>
      <w:r w:rsidRPr="008A37EC">
        <w:t xml:space="preserve">.  Instead, women with young children may be able to serve sentences outside prison.  For example, mothers may be housed in alternative institutions until their child is (usually) </w:t>
      </w:r>
      <w:r w:rsidR="00095D55">
        <w:t>nine</w:t>
      </w:r>
      <w:r w:rsidRPr="008A37EC">
        <w:t xml:space="preserve"> months old, or may serve (all or part of) their sentence at home</w:t>
      </w:r>
      <w:r w:rsidRPr="008A37EC">
        <w:rPr>
          <w:vertAlign w:val="superscript"/>
        </w:rPr>
        <w:endnoteReference w:id="216"/>
      </w:r>
      <w:r w:rsidRPr="008A37EC">
        <w:t xml:space="preserve">.  </w:t>
      </w:r>
    </w:p>
    <w:p w14:paraId="29CD2C63" w14:textId="77777777" w:rsidR="008A37EC" w:rsidRPr="008A37EC" w:rsidRDefault="008A37EC" w:rsidP="00402D02">
      <w:pPr>
        <w:pStyle w:val="SGBodytext"/>
      </w:pPr>
      <w:r w:rsidRPr="008A37EC">
        <w:t xml:space="preserve">In </w:t>
      </w:r>
      <w:r w:rsidRPr="008A37EC">
        <w:rPr>
          <w:b/>
        </w:rPr>
        <w:t>Spain</w:t>
      </w:r>
      <w:r w:rsidRPr="008A37EC">
        <w:t>, the law recognises the right of incarcerated mothers to keep their children with them until they are three years old</w:t>
      </w:r>
      <w:r w:rsidRPr="008A37EC">
        <w:rPr>
          <w:sz w:val="20"/>
        </w:rPr>
        <w:t xml:space="preserve">. </w:t>
      </w:r>
      <w:r w:rsidRPr="008A37EC">
        <w:t xml:space="preserve"> Between 2006 and 2012, five new ‘mother units’ were recreated to accommodate incarcerated women and their young children to live out-with prisons</w:t>
      </w:r>
      <w:r w:rsidR="00E31F52" w:rsidRPr="008A37EC">
        <w:rPr>
          <w:sz w:val="20"/>
          <w:vertAlign w:val="superscript"/>
        </w:rPr>
        <w:endnoteReference w:id="217"/>
      </w:r>
      <w:r w:rsidR="00E31F52" w:rsidRPr="008A37EC">
        <w:t>.  Children attend nursery and school, and, in most cases, mothers are allowed to take their children to school (and other activities, appointments)</w:t>
      </w:r>
      <w:r w:rsidR="00E31F52" w:rsidRPr="008A37EC">
        <w:rPr>
          <w:vertAlign w:val="superscript"/>
        </w:rPr>
        <w:endnoteReference w:id="218"/>
      </w:r>
      <w:r w:rsidR="00E31F52" w:rsidRPr="008A37EC">
        <w:t xml:space="preserve">.  Spain also has a number of open prisons which it calls ‘dependent units’ in which women can live with their children in residential facilities in urban areas, from where they can access treatment and education and training.  </w:t>
      </w:r>
      <w:r w:rsidR="00E31F52" w:rsidRPr="00095D55">
        <w:t>Although overseen by the Prison Service, dependent units are run by third sector organisations</w:t>
      </w:r>
      <w:r w:rsidR="00E31F52" w:rsidRPr="008A37EC">
        <w:rPr>
          <w:vertAlign w:val="superscript"/>
        </w:rPr>
        <w:endnoteReference w:id="219"/>
      </w:r>
      <w:r w:rsidR="00E31F52" w:rsidRPr="008A37EC">
        <w:t>.</w:t>
      </w:r>
    </w:p>
    <w:p w14:paraId="3F2C8823" w14:textId="77777777" w:rsidR="008A37EC" w:rsidRPr="00095D55" w:rsidRDefault="008A37EC" w:rsidP="00402D02">
      <w:pPr>
        <w:pStyle w:val="SGBodytext"/>
      </w:pPr>
      <w:r w:rsidRPr="008A37EC">
        <w:t xml:space="preserve">In </w:t>
      </w:r>
      <w:r w:rsidRPr="008A37EC">
        <w:rPr>
          <w:b/>
        </w:rPr>
        <w:t>Canada</w:t>
      </w:r>
      <w:r w:rsidRPr="008A37EC">
        <w:t xml:space="preserve"> there is a mother-child programme in place in all regional facilities, which enables children to reside with their mothers (where it is considered to be in the best interests of the child)</w:t>
      </w:r>
      <w:r w:rsidRPr="008A37EC">
        <w:rPr>
          <w:vertAlign w:val="superscript"/>
        </w:rPr>
        <w:endnoteReference w:id="220"/>
      </w:r>
      <w:r w:rsidRPr="008A37EC">
        <w:t>.  A review of the Canadian approach</w:t>
      </w:r>
      <w:r w:rsidRPr="008A37EC">
        <w:rPr>
          <w:vertAlign w:val="superscript"/>
        </w:rPr>
        <w:endnoteReference w:id="221"/>
      </w:r>
      <w:r w:rsidRPr="008A37EC">
        <w:t xml:space="preserve"> reported that three quarters of women indicated they had children, of which over 60% were single parents.  Contact with children was mostly through telephone and letters (rather than visits), and concerns were raised about the cost of phone calls and travel.  </w:t>
      </w:r>
      <w:r w:rsidR="00095D55">
        <w:t>As noted earlier, t</w:t>
      </w:r>
      <w:r w:rsidRPr="00095D55">
        <w:t>ravel and financial costs are known barriers to child visits in many countries, including Scotland.  What is perhaps surprising is that these continue to be persistent problems in a regional estate like Canada, where women are supposed to be held closer to their homes</w:t>
      </w:r>
      <w:r w:rsidR="00095D55">
        <w:t xml:space="preserve"> (see </w:t>
      </w:r>
      <w:r w:rsidR="00095D55" w:rsidRPr="00EB29FB">
        <w:rPr>
          <w:i/>
        </w:rPr>
        <w:t xml:space="preserve">Chapter 7. </w:t>
      </w:r>
      <w:r w:rsidR="00095D55" w:rsidRPr="00EB29FB">
        <w:rPr>
          <w:i/>
        </w:rPr>
        <w:fldChar w:fldCharType="begin"/>
      </w:r>
      <w:r w:rsidR="00095D55" w:rsidRPr="00EB29FB">
        <w:rPr>
          <w:i/>
        </w:rPr>
        <w:instrText xml:space="preserve"> REF _Ref425947781 \h </w:instrText>
      </w:r>
      <w:r w:rsidR="00095D55">
        <w:rPr>
          <w:i/>
        </w:rPr>
        <w:instrText xml:space="preserve"> \* MERGEFORMAT </w:instrText>
      </w:r>
      <w:r w:rsidR="00095D55" w:rsidRPr="00EB29FB">
        <w:rPr>
          <w:i/>
        </w:rPr>
      </w:r>
      <w:r w:rsidR="00095D55" w:rsidRPr="00EB29FB">
        <w:rPr>
          <w:i/>
        </w:rPr>
        <w:fldChar w:fldCharType="separate"/>
      </w:r>
      <w:r w:rsidR="00246821" w:rsidRPr="00246821">
        <w:rPr>
          <w:rFonts w:eastAsiaTheme="majorEastAsia"/>
          <w:i/>
        </w:rPr>
        <w:t xml:space="preserve">Learning from the Canadian </w:t>
      </w:r>
      <w:r w:rsidR="00246821" w:rsidRPr="00246821">
        <w:rPr>
          <w:rFonts w:eastAsiaTheme="majorEastAsia"/>
          <w:i/>
        </w:rPr>
        <w:tab/>
        <w:t>Experience</w:t>
      </w:r>
      <w:r w:rsidR="00095D55" w:rsidRPr="00EB29FB">
        <w:rPr>
          <w:i/>
        </w:rPr>
        <w:fldChar w:fldCharType="end"/>
      </w:r>
      <w:r w:rsidR="00095D55">
        <w:t>)</w:t>
      </w:r>
      <w:r w:rsidR="00EE636D">
        <w:t xml:space="preserve">. </w:t>
      </w:r>
      <w:r w:rsidR="00AB71FB">
        <w:t xml:space="preserve">Given the size of Canada, however, </w:t>
      </w:r>
      <w:r w:rsidR="00AB71FB">
        <w:lastRenderedPageBreak/>
        <w:t xml:space="preserve">it is likely that home-prison distance may still be considerable for some families of women in custody. </w:t>
      </w:r>
    </w:p>
    <w:p w14:paraId="2A6F8D12" w14:textId="77777777" w:rsidR="008A37EC" w:rsidRPr="008A37EC" w:rsidRDefault="008A37EC" w:rsidP="00402D02">
      <w:pPr>
        <w:pStyle w:val="SGBodytext"/>
      </w:pPr>
      <w:r w:rsidRPr="008A37EC">
        <w:t xml:space="preserve">Some prisons run </w:t>
      </w:r>
      <w:r w:rsidRPr="008A37EC">
        <w:rPr>
          <w:b/>
        </w:rPr>
        <w:t>parenting programmes</w:t>
      </w:r>
      <w:r w:rsidRPr="008A37EC">
        <w:t xml:space="preserve"> for mothers in prisons (though more emphasis tends to be placed on treatment type programmes).  In some prisons in Australia, for example, participation is compulsory for women whose children live with them.  The MAAD (Mothering at a Distance) Programme developed in New South Wales (Australia) aims not only to reduce the impact of enforced separations on the mother/child relationship but also to break the cycle of intergenerational crime.  </w:t>
      </w:r>
    </w:p>
    <w:p w14:paraId="1483A3AA" w14:textId="77777777" w:rsidR="008A37EC" w:rsidRPr="008A37EC" w:rsidRDefault="008A37EC" w:rsidP="00402D02">
      <w:pPr>
        <w:pStyle w:val="SGBodytext"/>
      </w:pPr>
      <w:r w:rsidRPr="008A37EC">
        <w:t>One international literature review</w:t>
      </w:r>
      <w:r w:rsidRPr="008A37EC">
        <w:rPr>
          <w:vertAlign w:val="superscript"/>
        </w:rPr>
        <w:endnoteReference w:id="222"/>
      </w:r>
      <w:r w:rsidRPr="008A37EC">
        <w:t xml:space="preserve"> of women’s prisons cited the following as important features of effective parenting-child intervention programs:</w:t>
      </w:r>
    </w:p>
    <w:p w14:paraId="192A661C" w14:textId="77777777" w:rsidR="008A37EC" w:rsidRPr="000E57F5" w:rsidRDefault="008A37EC" w:rsidP="006F0C6A">
      <w:pPr>
        <w:pStyle w:val="SGBullet"/>
        <w:rPr>
          <w:sz w:val="24"/>
          <w:szCs w:val="24"/>
          <w:lang w:eastAsia="en-GB"/>
        </w:rPr>
      </w:pPr>
      <w:r w:rsidRPr="000E57F5">
        <w:rPr>
          <w:sz w:val="24"/>
          <w:szCs w:val="24"/>
          <w:lang w:eastAsia="en-GB"/>
        </w:rPr>
        <w:t>relationship building through visitation classes;</w:t>
      </w:r>
    </w:p>
    <w:p w14:paraId="0A9C003D" w14:textId="77777777" w:rsidR="008A37EC" w:rsidRPr="000E57F5" w:rsidRDefault="008A37EC" w:rsidP="006F0C6A">
      <w:pPr>
        <w:pStyle w:val="SGBullet"/>
        <w:rPr>
          <w:sz w:val="24"/>
          <w:szCs w:val="24"/>
          <w:lang w:eastAsia="en-GB"/>
        </w:rPr>
      </w:pPr>
      <w:r w:rsidRPr="000E57F5">
        <w:rPr>
          <w:sz w:val="24"/>
          <w:szCs w:val="24"/>
          <w:lang w:eastAsia="en-GB"/>
        </w:rPr>
        <w:t>strong communication ties with children;</w:t>
      </w:r>
    </w:p>
    <w:p w14:paraId="1DC1E341" w14:textId="77777777" w:rsidR="008A37EC" w:rsidRPr="000E57F5" w:rsidRDefault="008A37EC" w:rsidP="006F0C6A">
      <w:pPr>
        <w:pStyle w:val="SGBullet"/>
        <w:rPr>
          <w:sz w:val="24"/>
          <w:szCs w:val="24"/>
          <w:lang w:eastAsia="en-GB"/>
        </w:rPr>
      </w:pPr>
      <w:r w:rsidRPr="000E57F5">
        <w:rPr>
          <w:sz w:val="24"/>
          <w:szCs w:val="24"/>
          <w:lang w:eastAsia="en-GB"/>
        </w:rPr>
        <w:t>regular child contact;</w:t>
      </w:r>
    </w:p>
    <w:p w14:paraId="3237E5D8" w14:textId="77777777" w:rsidR="008A37EC" w:rsidRPr="000E57F5" w:rsidRDefault="008A37EC" w:rsidP="006F0C6A">
      <w:pPr>
        <w:pStyle w:val="SGBullet"/>
        <w:rPr>
          <w:sz w:val="24"/>
          <w:szCs w:val="24"/>
          <w:lang w:eastAsia="en-GB"/>
        </w:rPr>
      </w:pPr>
      <w:r w:rsidRPr="000E57F5">
        <w:rPr>
          <w:sz w:val="24"/>
          <w:szCs w:val="24"/>
          <w:lang w:eastAsia="en-GB"/>
        </w:rPr>
        <w:t>peer support from other women prisoners in the same situation;</w:t>
      </w:r>
    </w:p>
    <w:p w14:paraId="25794FE9" w14:textId="77777777" w:rsidR="008A37EC" w:rsidRPr="000E57F5" w:rsidRDefault="008A37EC" w:rsidP="006F0C6A">
      <w:pPr>
        <w:pStyle w:val="SGBullet"/>
        <w:rPr>
          <w:sz w:val="24"/>
          <w:szCs w:val="24"/>
          <w:lang w:eastAsia="en-GB"/>
        </w:rPr>
      </w:pPr>
      <w:r w:rsidRPr="000E57F5">
        <w:rPr>
          <w:sz w:val="24"/>
          <w:szCs w:val="24"/>
          <w:lang w:eastAsia="en-GB"/>
        </w:rPr>
        <w:t>collaboration with the primary caregiver; and</w:t>
      </w:r>
    </w:p>
    <w:p w14:paraId="39FB5937" w14:textId="77777777" w:rsidR="008A37EC" w:rsidRPr="000E57F5" w:rsidRDefault="008A37EC" w:rsidP="006F0C6A">
      <w:pPr>
        <w:pStyle w:val="SGBullet"/>
        <w:rPr>
          <w:sz w:val="24"/>
          <w:szCs w:val="24"/>
          <w:lang w:eastAsia="en-GB"/>
        </w:rPr>
      </w:pPr>
      <w:proofErr w:type="gramStart"/>
      <w:r w:rsidRPr="000E57F5">
        <w:rPr>
          <w:sz w:val="24"/>
          <w:szCs w:val="24"/>
          <w:lang w:eastAsia="en-GB"/>
        </w:rPr>
        <w:t>the</w:t>
      </w:r>
      <w:proofErr w:type="gramEnd"/>
      <w:r w:rsidRPr="000E57F5">
        <w:rPr>
          <w:sz w:val="24"/>
          <w:szCs w:val="24"/>
          <w:lang w:eastAsia="en-GB"/>
        </w:rPr>
        <w:t xml:space="preserve"> commitment and coopera</w:t>
      </w:r>
      <w:r w:rsidR="00E31F52" w:rsidRPr="000E57F5">
        <w:rPr>
          <w:sz w:val="24"/>
          <w:szCs w:val="24"/>
          <w:lang w:eastAsia="en-GB"/>
        </w:rPr>
        <w:t xml:space="preserve">tion of corrections staff. </w:t>
      </w:r>
    </w:p>
    <w:p w14:paraId="7A9A55F7" w14:textId="77777777" w:rsidR="008A37EC" w:rsidRPr="008A37EC" w:rsidRDefault="008A37EC" w:rsidP="00402D02">
      <w:pPr>
        <w:pStyle w:val="SGBodytext"/>
      </w:pPr>
      <w:r w:rsidRPr="008A37EC">
        <w:t>The same report (Bartels &amp; Gaffney, 2011</w:t>
      </w:r>
      <w:r w:rsidR="00095D55" w:rsidRPr="00095D55">
        <w:t xml:space="preserve"> </w:t>
      </w:r>
      <w:r w:rsidR="00095D55" w:rsidRPr="008A37EC">
        <w:t>pp58-67</w:t>
      </w:r>
      <w:r w:rsidRPr="008A37EC">
        <w:t>) provides a useful description of best practice approaches and facilities for effective parent-child relationships</w:t>
      </w:r>
      <w:r w:rsidR="00CE0B7E">
        <w:t xml:space="preserve">.  </w:t>
      </w:r>
      <w:r w:rsidRPr="008A37EC">
        <w:t>The key areas covered include:</w:t>
      </w:r>
    </w:p>
    <w:p w14:paraId="0DE0CD69" w14:textId="77777777" w:rsidR="008A37EC" w:rsidRPr="000E57F5" w:rsidRDefault="008A37EC" w:rsidP="006F0C6A">
      <w:pPr>
        <w:pStyle w:val="SGBullet"/>
        <w:rPr>
          <w:rFonts w:ascii="Times New Roman" w:hAnsi="Times New Roman"/>
          <w:sz w:val="24"/>
          <w:szCs w:val="24"/>
          <w:lang w:eastAsia="en-GB"/>
        </w:rPr>
      </w:pPr>
      <w:r w:rsidRPr="000E57F5">
        <w:rPr>
          <w:sz w:val="24"/>
          <w:szCs w:val="24"/>
          <w:lang w:eastAsia="en-GB"/>
        </w:rPr>
        <w:t xml:space="preserve">MCUs </w:t>
      </w:r>
      <w:r w:rsidR="00095D55" w:rsidRPr="000E57F5">
        <w:rPr>
          <w:sz w:val="24"/>
          <w:szCs w:val="24"/>
          <w:lang w:eastAsia="en-GB"/>
        </w:rPr>
        <w:t xml:space="preserve">(mother and child units) </w:t>
      </w:r>
      <w:r w:rsidRPr="000E57F5">
        <w:rPr>
          <w:sz w:val="24"/>
          <w:szCs w:val="24"/>
          <w:lang w:eastAsia="en-GB"/>
        </w:rPr>
        <w:t>and family-friendly visiting areas</w:t>
      </w:r>
    </w:p>
    <w:p w14:paraId="0434DF2F" w14:textId="77777777" w:rsidR="008A37EC" w:rsidRPr="000E57F5" w:rsidRDefault="008A37EC" w:rsidP="006F0C6A">
      <w:pPr>
        <w:pStyle w:val="SGBullet"/>
        <w:rPr>
          <w:rFonts w:ascii="Times New Roman" w:hAnsi="Times New Roman"/>
          <w:sz w:val="24"/>
          <w:szCs w:val="24"/>
          <w:lang w:eastAsia="en-GB"/>
        </w:rPr>
      </w:pPr>
      <w:r w:rsidRPr="000E57F5">
        <w:rPr>
          <w:sz w:val="24"/>
          <w:szCs w:val="24"/>
          <w:lang w:eastAsia="en-GB"/>
        </w:rPr>
        <w:t>Healthcare (e.g. obstetric care, breastfeeding)</w:t>
      </w:r>
    </w:p>
    <w:p w14:paraId="7B62BDBA" w14:textId="77777777" w:rsidR="008A37EC" w:rsidRPr="000E57F5" w:rsidRDefault="008A37EC" w:rsidP="006F0C6A">
      <w:pPr>
        <w:pStyle w:val="SGBullet"/>
        <w:rPr>
          <w:rFonts w:ascii="Times New Roman" w:hAnsi="Times New Roman"/>
          <w:sz w:val="24"/>
          <w:szCs w:val="24"/>
          <w:lang w:eastAsia="en-GB"/>
        </w:rPr>
      </w:pPr>
      <w:r w:rsidRPr="000E57F5">
        <w:rPr>
          <w:sz w:val="24"/>
          <w:szCs w:val="24"/>
          <w:lang w:eastAsia="en-GB"/>
        </w:rPr>
        <w:t>Parenting programmes, playgroups, family workers</w:t>
      </w:r>
    </w:p>
    <w:p w14:paraId="1615767E" w14:textId="77777777" w:rsidR="008A37EC" w:rsidRPr="000E57F5" w:rsidRDefault="008A37EC" w:rsidP="006F0C6A">
      <w:pPr>
        <w:pStyle w:val="SGBullet"/>
        <w:rPr>
          <w:rFonts w:ascii="Times New Roman" w:hAnsi="Times New Roman"/>
          <w:sz w:val="24"/>
          <w:szCs w:val="24"/>
          <w:lang w:eastAsia="en-GB"/>
        </w:rPr>
      </w:pPr>
      <w:r w:rsidRPr="000E57F5">
        <w:rPr>
          <w:sz w:val="24"/>
          <w:szCs w:val="24"/>
          <w:lang w:eastAsia="en-GB"/>
        </w:rPr>
        <w:t>Potential of new communication technologies (e.g. Skype)</w:t>
      </w:r>
    </w:p>
    <w:p w14:paraId="506F853B" w14:textId="77777777" w:rsidR="008A37EC" w:rsidRPr="000E57F5" w:rsidRDefault="008A37EC" w:rsidP="006F0C6A">
      <w:pPr>
        <w:pStyle w:val="SGBullet"/>
        <w:rPr>
          <w:rFonts w:ascii="Times New Roman" w:hAnsi="Times New Roman"/>
          <w:sz w:val="24"/>
          <w:szCs w:val="24"/>
          <w:lang w:eastAsia="en-GB"/>
        </w:rPr>
      </w:pPr>
      <w:r w:rsidRPr="000E57F5">
        <w:rPr>
          <w:sz w:val="24"/>
          <w:szCs w:val="24"/>
          <w:lang w:eastAsia="en-GB"/>
        </w:rPr>
        <w:t>Overnight visits of non-resident children (e.g. for weekends and school holidays)</w:t>
      </w:r>
    </w:p>
    <w:p w14:paraId="615710E2" w14:textId="77777777" w:rsidR="008A37EC" w:rsidRPr="000E57F5" w:rsidRDefault="008A37EC" w:rsidP="006F0C6A">
      <w:pPr>
        <w:pStyle w:val="SGBullet"/>
        <w:rPr>
          <w:rFonts w:ascii="Times New Roman" w:hAnsi="Times New Roman"/>
          <w:sz w:val="24"/>
          <w:szCs w:val="24"/>
          <w:lang w:eastAsia="en-GB"/>
        </w:rPr>
      </w:pPr>
      <w:r w:rsidRPr="000E57F5">
        <w:rPr>
          <w:sz w:val="24"/>
          <w:szCs w:val="24"/>
          <w:lang w:eastAsia="en-GB"/>
        </w:rPr>
        <w:t>Childcare (for resident children) to enable mothers to undertake work, education and treatment programmes</w:t>
      </w:r>
    </w:p>
    <w:p w14:paraId="642F8FE2" w14:textId="77777777" w:rsidR="008A37EC" w:rsidRPr="000E57F5" w:rsidRDefault="008A37EC" w:rsidP="006F0C6A">
      <w:pPr>
        <w:pStyle w:val="SGBullet"/>
        <w:rPr>
          <w:rFonts w:ascii="Times New Roman" w:hAnsi="Times New Roman"/>
          <w:sz w:val="24"/>
          <w:szCs w:val="24"/>
          <w:lang w:eastAsia="en-GB"/>
        </w:rPr>
      </w:pPr>
      <w:r w:rsidRPr="000E57F5">
        <w:rPr>
          <w:sz w:val="24"/>
          <w:szCs w:val="24"/>
          <w:lang w:eastAsia="en-GB"/>
        </w:rPr>
        <w:t>Appropriate training and security checks of staff who deal with children</w:t>
      </w:r>
    </w:p>
    <w:p w14:paraId="0FAFAC84" w14:textId="77777777" w:rsidR="008A37EC" w:rsidRPr="00A32EC2" w:rsidRDefault="008A37EC" w:rsidP="006F0C6A">
      <w:pPr>
        <w:pStyle w:val="SGBullet"/>
        <w:rPr>
          <w:rFonts w:ascii="Times New Roman" w:hAnsi="Times New Roman"/>
          <w:lang w:eastAsia="en-GB"/>
        </w:rPr>
      </w:pPr>
      <w:r w:rsidRPr="000E57F5">
        <w:rPr>
          <w:sz w:val="24"/>
          <w:szCs w:val="24"/>
          <w:lang w:eastAsia="en-GB"/>
        </w:rPr>
        <w:t>Continuation of care into community (e.g. local parent support programmes)</w:t>
      </w:r>
    </w:p>
    <w:p w14:paraId="617A0E81" w14:textId="77777777" w:rsidR="008A37EC" w:rsidRPr="008A37EC" w:rsidRDefault="008A37EC" w:rsidP="00402D02">
      <w:pPr>
        <w:pStyle w:val="SGBodytext"/>
      </w:pPr>
    </w:p>
    <w:p w14:paraId="228B60CD" w14:textId="2981F3A2" w:rsidR="00402D02" w:rsidRDefault="00402D02">
      <w:pPr>
        <w:tabs>
          <w:tab w:val="clear" w:pos="720"/>
          <w:tab w:val="clear" w:pos="1440"/>
          <w:tab w:val="clear" w:pos="2160"/>
          <w:tab w:val="clear" w:pos="2880"/>
          <w:tab w:val="clear" w:pos="4680"/>
          <w:tab w:val="clear" w:pos="5400"/>
          <w:tab w:val="clear" w:pos="9000"/>
        </w:tabs>
        <w:spacing w:line="240" w:lineRule="auto"/>
        <w:rPr>
          <w:rFonts w:eastAsiaTheme="majorEastAsia" w:cs="Arial"/>
          <w:noProof/>
          <w:color w:val="17365D" w:themeColor="text2" w:themeShade="BF"/>
          <w:spacing w:val="5"/>
          <w:kern w:val="28"/>
          <w:sz w:val="24"/>
          <w:szCs w:val="24"/>
          <w:lang w:eastAsia="en-GB"/>
        </w:rPr>
      </w:pPr>
      <w:r>
        <w:rPr>
          <w:rFonts w:eastAsiaTheme="majorEastAsia"/>
          <w:color w:val="17365D" w:themeColor="text2" w:themeShade="BF"/>
          <w:spacing w:val="5"/>
          <w:kern w:val="28"/>
        </w:rPr>
        <w:br w:type="page"/>
      </w:r>
    </w:p>
    <w:p w14:paraId="580D6E90" w14:textId="77777777" w:rsidR="008A37EC" w:rsidRPr="002A0421" w:rsidRDefault="008A37EC" w:rsidP="002A0421">
      <w:pPr>
        <w:pStyle w:val="Heading1blue"/>
        <w:numPr>
          <w:ilvl w:val="0"/>
          <w:numId w:val="33"/>
        </w:numPr>
        <w:rPr>
          <w:rFonts w:eastAsiaTheme="majorEastAsia"/>
        </w:rPr>
      </w:pPr>
      <w:bookmarkStart w:id="54" w:name="_Toc419291723"/>
      <w:bookmarkStart w:id="55" w:name="_Toc429555829"/>
      <w:r w:rsidRPr="002A0421">
        <w:rPr>
          <w:rFonts w:eastAsiaTheme="majorEastAsia"/>
        </w:rPr>
        <w:lastRenderedPageBreak/>
        <w:t>Risks and Further Considerations</w:t>
      </w:r>
      <w:bookmarkEnd w:id="54"/>
      <w:bookmarkEnd w:id="55"/>
    </w:p>
    <w:p w14:paraId="16577F34" w14:textId="77777777" w:rsidR="00246F60" w:rsidRDefault="00246F60" w:rsidP="00402D02">
      <w:pPr>
        <w:pStyle w:val="SGBodytext"/>
      </w:pPr>
    </w:p>
    <w:p w14:paraId="35B7AF27" w14:textId="77777777" w:rsidR="008A37EC" w:rsidRPr="008A37EC" w:rsidRDefault="008A37EC" w:rsidP="00402D02">
      <w:pPr>
        <w:pStyle w:val="SGBodytext"/>
      </w:pPr>
      <w:r w:rsidRPr="008A37EC">
        <w:t xml:space="preserve">Small and/or </w:t>
      </w:r>
      <w:r w:rsidR="00E31F52">
        <w:t>local</w:t>
      </w:r>
      <w:r w:rsidRPr="008A37EC">
        <w:t xml:space="preserve"> women’s prisons, whilst having the potential to improve outcomes for women offenders, are</w:t>
      </w:r>
      <w:r w:rsidR="00E944C8">
        <w:t xml:space="preserve"> not without their challenges.</w:t>
      </w:r>
      <w:r w:rsidRPr="008A37EC">
        <w:t xml:space="preserve">  Some of the potential risks of </w:t>
      </w:r>
      <w:r w:rsidR="00CE0B7E">
        <w:t>pri</w:t>
      </w:r>
      <w:r w:rsidR="00625B24">
        <w:t xml:space="preserve">son </w:t>
      </w:r>
      <w:r w:rsidR="00E31F52">
        <w:t xml:space="preserve">regimes of this nature </w:t>
      </w:r>
      <w:r w:rsidRPr="008A37EC">
        <w:t>(as suggested by the literature) are listed below:</w:t>
      </w:r>
    </w:p>
    <w:p w14:paraId="62C74D06" w14:textId="77777777" w:rsidR="008A37EC" w:rsidRPr="000E57F5" w:rsidRDefault="00E31F52" w:rsidP="006F0C6A">
      <w:pPr>
        <w:pStyle w:val="SGBullet"/>
        <w:rPr>
          <w:sz w:val="24"/>
          <w:szCs w:val="24"/>
          <w:lang w:eastAsia="en-GB"/>
        </w:rPr>
      </w:pPr>
      <w:r w:rsidRPr="000E57F5">
        <w:rPr>
          <w:sz w:val="24"/>
          <w:szCs w:val="24"/>
          <w:lang w:eastAsia="en-GB"/>
        </w:rPr>
        <w:t>Locali</w:t>
      </w:r>
      <w:r w:rsidR="008A37EC" w:rsidRPr="000E57F5">
        <w:rPr>
          <w:sz w:val="24"/>
          <w:szCs w:val="24"/>
          <w:lang w:eastAsia="en-GB"/>
        </w:rPr>
        <w:t xml:space="preserve">sation in itself is unlikely to work in the absence of sufficient </w:t>
      </w:r>
      <w:r w:rsidR="008A37EC" w:rsidRPr="000E57F5">
        <w:rPr>
          <w:b/>
          <w:sz w:val="24"/>
          <w:szCs w:val="24"/>
          <w:lang w:eastAsia="en-GB"/>
        </w:rPr>
        <w:t xml:space="preserve">resources </w:t>
      </w:r>
      <w:r w:rsidR="008A37EC" w:rsidRPr="000E57F5">
        <w:rPr>
          <w:sz w:val="24"/>
          <w:szCs w:val="24"/>
          <w:lang w:eastAsia="en-GB"/>
        </w:rPr>
        <w:t xml:space="preserve">(both within </w:t>
      </w:r>
      <w:r w:rsidR="00060A03" w:rsidRPr="000E57F5">
        <w:rPr>
          <w:sz w:val="24"/>
          <w:szCs w:val="24"/>
          <w:lang w:eastAsia="en-GB"/>
        </w:rPr>
        <w:t xml:space="preserve">and </w:t>
      </w:r>
      <w:r w:rsidR="008A37EC" w:rsidRPr="000E57F5">
        <w:rPr>
          <w:sz w:val="24"/>
          <w:szCs w:val="24"/>
          <w:lang w:eastAsia="en-GB"/>
        </w:rPr>
        <w:t xml:space="preserve">outwith prisons) and a </w:t>
      </w:r>
      <w:r w:rsidR="008A37EC" w:rsidRPr="000E57F5">
        <w:rPr>
          <w:b/>
          <w:sz w:val="24"/>
          <w:szCs w:val="24"/>
          <w:lang w:eastAsia="en-GB"/>
        </w:rPr>
        <w:t>gender-specific ethos</w:t>
      </w:r>
      <w:r w:rsidR="008A37EC" w:rsidRPr="000E57F5">
        <w:rPr>
          <w:sz w:val="24"/>
          <w:szCs w:val="24"/>
          <w:lang w:eastAsia="en-GB"/>
        </w:rPr>
        <w:t xml:space="preserve"> (e.g. see earlier discussion about some aspects of healthcare in Spain).  </w:t>
      </w:r>
    </w:p>
    <w:p w14:paraId="12E2C190" w14:textId="77777777" w:rsidR="000D1393" w:rsidRPr="000E57F5" w:rsidRDefault="000D1393" w:rsidP="006F0C6A">
      <w:pPr>
        <w:pStyle w:val="SGBullet"/>
        <w:rPr>
          <w:sz w:val="24"/>
          <w:szCs w:val="24"/>
          <w:lang w:eastAsia="en-GB"/>
        </w:rPr>
      </w:pPr>
      <w:r w:rsidRPr="000E57F5">
        <w:rPr>
          <w:sz w:val="24"/>
          <w:szCs w:val="24"/>
          <w:lang w:eastAsia="en-GB"/>
        </w:rPr>
        <w:t xml:space="preserve">There appear to be other barriers to family visits beyond location and child-friendly facilities (e.g. costs of phone calls and travel, willingness of carers and/or mothers) which </w:t>
      </w:r>
      <w:r w:rsidR="00BE6CE0" w:rsidRPr="000E57F5">
        <w:rPr>
          <w:sz w:val="24"/>
          <w:szCs w:val="24"/>
          <w:lang w:eastAsia="en-GB"/>
        </w:rPr>
        <w:t>local</w:t>
      </w:r>
      <w:r w:rsidRPr="000E57F5">
        <w:rPr>
          <w:sz w:val="24"/>
          <w:szCs w:val="24"/>
          <w:lang w:eastAsia="en-GB"/>
        </w:rPr>
        <w:t xml:space="preserve"> prisons alone may not overcome. </w:t>
      </w:r>
    </w:p>
    <w:p w14:paraId="202877BF" w14:textId="77777777" w:rsidR="008A37EC" w:rsidRPr="000E57F5" w:rsidRDefault="00625B24" w:rsidP="006F0C6A">
      <w:pPr>
        <w:pStyle w:val="SGBullet"/>
        <w:rPr>
          <w:sz w:val="24"/>
          <w:szCs w:val="24"/>
          <w:lang w:eastAsia="en-GB"/>
        </w:rPr>
      </w:pPr>
      <w:r w:rsidRPr="000E57F5">
        <w:rPr>
          <w:sz w:val="24"/>
          <w:szCs w:val="24"/>
          <w:lang w:eastAsia="en-GB"/>
        </w:rPr>
        <w:t>Small</w:t>
      </w:r>
      <w:r w:rsidR="000D1393" w:rsidRPr="000E57F5">
        <w:rPr>
          <w:sz w:val="24"/>
          <w:szCs w:val="24"/>
          <w:lang w:eastAsia="en-GB"/>
        </w:rPr>
        <w:t xml:space="preserve"> and/or community-based</w:t>
      </w:r>
      <w:r w:rsidR="008A37EC" w:rsidRPr="000E57F5">
        <w:rPr>
          <w:sz w:val="24"/>
          <w:szCs w:val="24"/>
          <w:lang w:eastAsia="en-GB"/>
        </w:rPr>
        <w:t xml:space="preserve"> prisons may struggle to provide </w:t>
      </w:r>
      <w:r w:rsidR="008A37EC" w:rsidRPr="000E57F5">
        <w:rPr>
          <w:b/>
          <w:sz w:val="24"/>
          <w:szCs w:val="24"/>
          <w:lang w:eastAsia="en-GB"/>
        </w:rPr>
        <w:t>specialist care</w:t>
      </w:r>
      <w:r w:rsidR="00E944C8" w:rsidRPr="000E57F5">
        <w:rPr>
          <w:sz w:val="24"/>
          <w:szCs w:val="24"/>
          <w:lang w:eastAsia="en-GB"/>
        </w:rPr>
        <w:t>, particularly mental</w:t>
      </w:r>
      <w:r w:rsidR="008A37EC" w:rsidRPr="000E57F5">
        <w:rPr>
          <w:sz w:val="24"/>
          <w:szCs w:val="24"/>
          <w:lang w:eastAsia="en-GB"/>
        </w:rPr>
        <w:t xml:space="preserve"> healthcare as has been experienced in Canada and Australia which both have national specialist mental health units.  </w:t>
      </w:r>
    </w:p>
    <w:p w14:paraId="4B86AA56" w14:textId="77777777" w:rsidR="008A37EC" w:rsidRPr="000E57F5" w:rsidRDefault="008A37EC" w:rsidP="006F0C6A">
      <w:pPr>
        <w:pStyle w:val="SGBullet"/>
        <w:rPr>
          <w:sz w:val="24"/>
          <w:szCs w:val="24"/>
          <w:lang w:eastAsia="en-GB"/>
        </w:rPr>
      </w:pPr>
      <w:r w:rsidRPr="000E57F5">
        <w:rPr>
          <w:b/>
          <w:sz w:val="24"/>
          <w:szCs w:val="24"/>
          <w:lang w:eastAsia="en-GB"/>
        </w:rPr>
        <w:t>Isolation</w:t>
      </w:r>
      <w:r w:rsidRPr="000E57F5">
        <w:rPr>
          <w:sz w:val="24"/>
          <w:szCs w:val="24"/>
          <w:lang w:eastAsia="en-GB"/>
        </w:rPr>
        <w:t xml:space="preserve"> (from services) in small or campus-style prisons could be a problem.  It has been suggested, for example, that prisons should be placed </w:t>
      </w:r>
      <w:r w:rsidR="001A4E4A" w:rsidRPr="000E57F5">
        <w:rPr>
          <w:sz w:val="24"/>
          <w:szCs w:val="24"/>
          <w:lang w:eastAsia="en-GB"/>
        </w:rPr>
        <w:t xml:space="preserve">near urban areas and/or </w:t>
      </w:r>
      <w:r w:rsidRPr="000E57F5">
        <w:rPr>
          <w:sz w:val="24"/>
          <w:szCs w:val="24"/>
          <w:lang w:eastAsia="en-GB"/>
        </w:rPr>
        <w:t xml:space="preserve">within a ‘community network’ </w:t>
      </w:r>
      <w:r w:rsidR="00060A03" w:rsidRPr="000E57F5">
        <w:rPr>
          <w:sz w:val="24"/>
          <w:szCs w:val="24"/>
          <w:lang w:eastAsia="en-GB"/>
        </w:rPr>
        <w:t xml:space="preserve">(i.e. where prisons are situated either physically or virtually within a </w:t>
      </w:r>
      <w:r w:rsidR="00625B24" w:rsidRPr="000E57F5">
        <w:rPr>
          <w:sz w:val="24"/>
          <w:szCs w:val="24"/>
          <w:lang w:eastAsia="en-GB"/>
        </w:rPr>
        <w:t xml:space="preserve">local </w:t>
      </w:r>
      <w:r w:rsidR="00060A03" w:rsidRPr="000E57F5">
        <w:rPr>
          <w:sz w:val="24"/>
          <w:szCs w:val="24"/>
          <w:lang w:eastAsia="en-GB"/>
        </w:rPr>
        <w:t xml:space="preserve">community) </w:t>
      </w:r>
      <w:r w:rsidRPr="000E57F5">
        <w:rPr>
          <w:sz w:val="24"/>
          <w:szCs w:val="24"/>
          <w:lang w:eastAsia="en-GB"/>
        </w:rPr>
        <w:t>to ensure a range of service provision is available regardless of size or location</w:t>
      </w:r>
      <w:r w:rsidRPr="000E57F5">
        <w:rPr>
          <w:sz w:val="24"/>
          <w:szCs w:val="24"/>
          <w:vertAlign w:val="superscript"/>
          <w:lang w:eastAsia="en-GB"/>
        </w:rPr>
        <w:endnoteReference w:id="223"/>
      </w:r>
      <w:r w:rsidRPr="000E57F5">
        <w:rPr>
          <w:sz w:val="24"/>
          <w:szCs w:val="24"/>
          <w:lang w:eastAsia="en-GB"/>
        </w:rPr>
        <w:t>.</w:t>
      </w:r>
      <w:r w:rsidR="001A4E4A" w:rsidRPr="000E57F5">
        <w:rPr>
          <w:sz w:val="24"/>
          <w:szCs w:val="24"/>
          <w:lang w:eastAsia="en-GB"/>
        </w:rPr>
        <w:t xml:space="preserve">  The rural nature of some communities in Scotland may exacerbate this risk. </w:t>
      </w:r>
    </w:p>
    <w:p w14:paraId="084177D1" w14:textId="77777777" w:rsidR="008A37EC" w:rsidRPr="000E57F5" w:rsidRDefault="008A37EC" w:rsidP="006F0C6A">
      <w:pPr>
        <w:pStyle w:val="SGBullet"/>
        <w:rPr>
          <w:sz w:val="24"/>
          <w:szCs w:val="24"/>
          <w:lang w:eastAsia="en-GB"/>
        </w:rPr>
      </w:pPr>
      <w:r w:rsidRPr="000E57F5">
        <w:rPr>
          <w:sz w:val="24"/>
          <w:szCs w:val="24"/>
          <w:lang w:eastAsia="en-GB"/>
        </w:rPr>
        <w:t>The lessons learned from Canada emphasise how important it is that prisons are not designed and implemented in the absence of</w:t>
      </w:r>
      <w:r w:rsidRPr="000E57F5">
        <w:rPr>
          <w:b/>
          <w:sz w:val="24"/>
          <w:szCs w:val="24"/>
          <w:lang w:eastAsia="en-GB"/>
        </w:rPr>
        <w:t xml:space="preserve"> transformation in penal culture</w:t>
      </w:r>
      <w:r w:rsidRPr="000E57F5">
        <w:rPr>
          <w:sz w:val="24"/>
          <w:szCs w:val="24"/>
          <w:lang w:eastAsia="en-GB"/>
        </w:rPr>
        <w:t xml:space="preserve"> and </w:t>
      </w:r>
      <w:r w:rsidR="00951A80" w:rsidRPr="000E57F5">
        <w:rPr>
          <w:sz w:val="24"/>
          <w:szCs w:val="24"/>
          <w:lang w:eastAsia="en-GB"/>
        </w:rPr>
        <w:t>effective</w:t>
      </w:r>
      <w:r w:rsidRPr="000E57F5">
        <w:rPr>
          <w:sz w:val="24"/>
          <w:szCs w:val="24"/>
          <w:lang w:eastAsia="en-GB"/>
        </w:rPr>
        <w:t xml:space="preserve"> management</w:t>
      </w:r>
      <w:r w:rsidRPr="000E57F5">
        <w:rPr>
          <w:sz w:val="24"/>
          <w:szCs w:val="24"/>
          <w:vertAlign w:val="superscript"/>
          <w:lang w:eastAsia="en-GB"/>
        </w:rPr>
        <w:endnoteReference w:id="224"/>
      </w:r>
      <w:r w:rsidR="00951A80" w:rsidRPr="000E57F5">
        <w:rPr>
          <w:sz w:val="24"/>
          <w:szCs w:val="24"/>
          <w:lang w:eastAsia="en-GB"/>
        </w:rPr>
        <w:t xml:space="preserve">, </w:t>
      </w:r>
      <w:r w:rsidRPr="000E57F5">
        <w:rPr>
          <w:sz w:val="24"/>
          <w:szCs w:val="24"/>
          <w:lang w:eastAsia="en-GB"/>
        </w:rPr>
        <w:t xml:space="preserve">and/or in isolation from </w:t>
      </w:r>
      <w:r w:rsidRPr="000E57F5">
        <w:rPr>
          <w:b/>
          <w:sz w:val="24"/>
          <w:szCs w:val="24"/>
          <w:lang w:eastAsia="en-GB"/>
        </w:rPr>
        <w:t>sentencing practices</w:t>
      </w:r>
      <w:r w:rsidRPr="000E57F5">
        <w:rPr>
          <w:sz w:val="24"/>
          <w:szCs w:val="24"/>
          <w:lang w:eastAsia="en-GB"/>
        </w:rPr>
        <w:t xml:space="preserve"> (Canada’s prison population </w:t>
      </w:r>
      <w:r w:rsidR="00951A80" w:rsidRPr="000E57F5">
        <w:rPr>
          <w:sz w:val="24"/>
          <w:szCs w:val="24"/>
          <w:lang w:eastAsia="en-GB"/>
        </w:rPr>
        <w:t xml:space="preserve">has </w:t>
      </w:r>
      <w:r w:rsidRPr="000E57F5">
        <w:rPr>
          <w:sz w:val="24"/>
          <w:szCs w:val="24"/>
          <w:lang w:eastAsia="en-GB"/>
        </w:rPr>
        <w:t>continued to rise despite the introduction of regional prisons).</w:t>
      </w:r>
    </w:p>
    <w:p w14:paraId="529E46D8" w14:textId="77777777" w:rsidR="008A37EC" w:rsidRPr="008A37EC" w:rsidRDefault="008A37EC" w:rsidP="00402D02">
      <w:pPr>
        <w:pStyle w:val="SGBodytext"/>
      </w:pPr>
      <w:r w:rsidRPr="008A37EC">
        <w:t>More generally speaking, a gender-specific approach might also consider:</w:t>
      </w:r>
    </w:p>
    <w:p w14:paraId="1D10B5F8" w14:textId="77777777" w:rsidR="008A37EC" w:rsidRPr="000E57F5" w:rsidRDefault="008A37EC" w:rsidP="006F0C6A">
      <w:pPr>
        <w:pStyle w:val="SGBullet"/>
        <w:rPr>
          <w:sz w:val="24"/>
          <w:szCs w:val="24"/>
          <w:lang w:eastAsia="en-GB"/>
        </w:rPr>
      </w:pPr>
      <w:r w:rsidRPr="000E57F5">
        <w:rPr>
          <w:sz w:val="24"/>
          <w:szCs w:val="24"/>
          <w:lang w:eastAsia="en-GB"/>
        </w:rPr>
        <w:t xml:space="preserve">The limitations of prison itself and, specifically, the factors </w:t>
      </w:r>
      <w:proofErr w:type="spellStart"/>
      <w:r w:rsidRPr="000E57F5">
        <w:rPr>
          <w:sz w:val="24"/>
          <w:szCs w:val="24"/>
          <w:lang w:eastAsia="en-GB"/>
        </w:rPr>
        <w:t>outwith</w:t>
      </w:r>
      <w:proofErr w:type="spellEnd"/>
      <w:r w:rsidRPr="000E57F5">
        <w:rPr>
          <w:sz w:val="24"/>
          <w:szCs w:val="24"/>
          <w:lang w:eastAsia="en-GB"/>
        </w:rPr>
        <w:t xml:space="preserve"> its control such as the </w:t>
      </w:r>
      <w:r w:rsidRPr="000E57F5">
        <w:rPr>
          <w:b/>
          <w:sz w:val="24"/>
          <w:szCs w:val="24"/>
          <w:lang w:eastAsia="en-GB"/>
        </w:rPr>
        <w:t>social conditions</w:t>
      </w:r>
      <w:r w:rsidRPr="000E57F5">
        <w:rPr>
          <w:sz w:val="24"/>
          <w:szCs w:val="24"/>
          <w:lang w:eastAsia="en-GB"/>
        </w:rPr>
        <w:t xml:space="preserve"> that (some argue) give rise to offending behaviour in women rather tha</w:t>
      </w:r>
      <w:r w:rsidR="00E944C8" w:rsidRPr="000E57F5">
        <w:rPr>
          <w:sz w:val="24"/>
          <w:szCs w:val="24"/>
          <w:lang w:eastAsia="en-GB"/>
        </w:rPr>
        <w:t xml:space="preserve">n women’s individual pathology </w:t>
      </w:r>
      <w:r w:rsidRPr="000E57F5">
        <w:rPr>
          <w:sz w:val="24"/>
          <w:szCs w:val="24"/>
          <w:lang w:eastAsia="en-GB"/>
        </w:rPr>
        <w:t>which tends to be the focus of offender programmes</w:t>
      </w:r>
      <w:r w:rsidRPr="000E57F5">
        <w:rPr>
          <w:sz w:val="24"/>
          <w:szCs w:val="24"/>
          <w:vertAlign w:val="superscript"/>
          <w:lang w:eastAsia="en-GB"/>
        </w:rPr>
        <w:endnoteReference w:id="225"/>
      </w:r>
      <w:r w:rsidRPr="000E57F5">
        <w:rPr>
          <w:sz w:val="24"/>
          <w:szCs w:val="24"/>
          <w:lang w:eastAsia="en-GB"/>
        </w:rPr>
        <w:t xml:space="preserve">.  </w:t>
      </w:r>
    </w:p>
    <w:p w14:paraId="2521BB58" w14:textId="77777777" w:rsidR="008A37EC" w:rsidRPr="000E57F5" w:rsidRDefault="008A37EC" w:rsidP="006F0C6A">
      <w:pPr>
        <w:pStyle w:val="SGBullet"/>
        <w:rPr>
          <w:sz w:val="24"/>
          <w:szCs w:val="24"/>
          <w:lang w:eastAsia="en-GB"/>
        </w:rPr>
      </w:pPr>
      <w:r w:rsidRPr="000E57F5">
        <w:rPr>
          <w:sz w:val="24"/>
          <w:szCs w:val="24"/>
          <w:lang w:eastAsia="en-GB"/>
        </w:rPr>
        <w:t xml:space="preserve">The risks of the </w:t>
      </w:r>
      <w:r w:rsidRPr="000E57F5">
        <w:rPr>
          <w:b/>
          <w:sz w:val="24"/>
          <w:szCs w:val="24"/>
          <w:lang w:eastAsia="en-GB"/>
        </w:rPr>
        <w:t>extension of prisons to communities</w:t>
      </w:r>
      <w:r w:rsidRPr="000E57F5">
        <w:rPr>
          <w:sz w:val="24"/>
          <w:szCs w:val="24"/>
          <w:lang w:eastAsia="en-GB"/>
        </w:rPr>
        <w:t xml:space="preserve"> (e.g. through more open prisons, intensive community sanctions etc.), noting the concerns of some that this </w:t>
      </w:r>
      <w:r w:rsidR="00951A80" w:rsidRPr="000E57F5">
        <w:rPr>
          <w:sz w:val="24"/>
          <w:szCs w:val="24"/>
          <w:lang w:eastAsia="en-GB"/>
        </w:rPr>
        <w:t>may represent an</w:t>
      </w:r>
      <w:r w:rsidRPr="000E57F5">
        <w:rPr>
          <w:sz w:val="24"/>
          <w:szCs w:val="24"/>
          <w:lang w:eastAsia="en-GB"/>
        </w:rPr>
        <w:t xml:space="preserve"> expansion rather than contraction of punishment of women</w:t>
      </w:r>
      <w:r w:rsidRPr="000E57F5">
        <w:rPr>
          <w:sz w:val="24"/>
          <w:szCs w:val="24"/>
          <w:vertAlign w:val="superscript"/>
          <w:lang w:eastAsia="en-GB"/>
        </w:rPr>
        <w:endnoteReference w:id="226"/>
      </w:r>
      <w:r w:rsidRPr="000E57F5">
        <w:rPr>
          <w:sz w:val="24"/>
          <w:szCs w:val="24"/>
          <w:lang w:eastAsia="en-GB"/>
        </w:rPr>
        <w:t>, or, as described in the Northern Ireland literature review, a supplement rather than a replacement of traditional measures which could lead to net-widening and up-tariffing of sentences for women</w:t>
      </w:r>
      <w:r w:rsidRPr="000E57F5">
        <w:rPr>
          <w:sz w:val="24"/>
          <w:szCs w:val="24"/>
          <w:vertAlign w:val="superscript"/>
          <w:lang w:eastAsia="en-GB"/>
        </w:rPr>
        <w:endnoteReference w:id="227"/>
      </w:r>
      <w:r w:rsidRPr="000E57F5">
        <w:rPr>
          <w:sz w:val="24"/>
          <w:szCs w:val="24"/>
          <w:lang w:eastAsia="en-GB"/>
        </w:rPr>
        <w:t>.  Similarly, others have argued that increased surveillance in the community could be disempowering</w:t>
      </w:r>
      <w:r w:rsidRPr="000E57F5">
        <w:rPr>
          <w:sz w:val="24"/>
          <w:szCs w:val="24"/>
          <w:vertAlign w:val="superscript"/>
          <w:lang w:eastAsia="en-GB"/>
        </w:rPr>
        <w:endnoteReference w:id="228"/>
      </w:r>
      <w:r w:rsidRPr="000E57F5">
        <w:rPr>
          <w:sz w:val="24"/>
          <w:szCs w:val="24"/>
          <w:lang w:eastAsia="en-GB"/>
        </w:rPr>
        <w:t>.</w:t>
      </w:r>
    </w:p>
    <w:p w14:paraId="1A1CE70D" w14:textId="77777777" w:rsidR="008A37EC" w:rsidRPr="000E57F5" w:rsidRDefault="008A37EC" w:rsidP="006F0C6A">
      <w:pPr>
        <w:pStyle w:val="SGBullet"/>
        <w:rPr>
          <w:sz w:val="24"/>
          <w:szCs w:val="24"/>
          <w:lang w:eastAsia="en-GB"/>
        </w:rPr>
      </w:pPr>
      <w:r w:rsidRPr="000E57F5">
        <w:rPr>
          <w:sz w:val="24"/>
          <w:szCs w:val="24"/>
          <w:lang w:eastAsia="en-GB"/>
        </w:rPr>
        <w:t>Related to the above point, some studies have reported up-tariffing of sentences for women “due to the ‘courts’ greater readiness to impose community sentences”</w:t>
      </w:r>
      <w:r w:rsidRPr="000E57F5">
        <w:rPr>
          <w:sz w:val="24"/>
          <w:szCs w:val="24"/>
          <w:vertAlign w:val="superscript"/>
          <w:lang w:eastAsia="en-GB"/>
        </w:rPr>
        <w:endnoteReference w:id="229"/>
      </w:r>
      <w:r w:rsidRPr="000E57F5">
        <w:rPr>
          <w:sz w:val="24"/>
          <w:szCs w:val="24"/>
          <w:lang w:eastAsia="en-GB"/>
        </w:rPr>
        <w:t xml:space="preserve">.  The risk of this approach, it is argued, is an </w:t>
      </w:r>
      <w:r w:rsidRPr="000E57F5">
        <w:rPr>
          <w:b/>
          <w:sz w:val="24"/>
          <w:szCs w:val="24"/>
          <w:lang w:eastAsia="en-GB"/>
        </w:rPr>
        <w:t>increased risk of custody for breach</w:t>
      </w:r>
      <w:r w:rsidRPr="000E57F5">
        <w:rPr>
          <w:sz w:val="24"/>
          <w:szCs w:val="24"/>
          <w:lang w:eastAsia="en-GB"/>
        </w:rPr>
        <w:t xml:space="preserve"> of an order (or a history of breaches) rather than for the original offence.  Others have argued that the complex requirements of a community order can also lead to </w:t>
      </w:r>
      <w:r w:rsidRPr="000E57F5">
        <w:rPr>
          <w:sz w:val="24"/>
          <w:szCs w:val="24"/>
          <w:lang w:eastAsia="en-GB"/>
        </w:rPr>
        <w:lastRenderedPageBreak/>
        <w:t xml:space="preserve">an increased risk of breach (and </w:t>
      </w:r>
      <w:r w:rsidR="00E944C8" w:rsidRPr="000E57F5">
        <w:rPr>
          <w:sz w:val="24"/>
          <w:szCs w:val="24"/>
          <w:lang w:eastAsia="en-GB"/>
        </w:rPr>
        <w:t xml:space="preserve">subsequent </w:t>
      </w:r>
      <w:r w:rsidRPr="000E57F5">
        <w:rPr>
          <w:sz w:val="24"/>
          <w:szCs w:val="24"/>
          <w:lang w:eastAsia="en-GB"/>
        </w:rPr>
        <w:t>custody)</w:t>
      </w:r>
      <w:r w:rsidRPr="000E57F5">
        <w:rPr>
          <w:sz w:val="24"/>
          <w:szCs w:val="24"/>
          <w:vertAlign w:val="superscript"/>
          <w:lang w:eastAsia="en-GB"/>
        </w:rPr>
        <w:endnoteReference w:id="230"/>
      </w:r>
      <w:r w:rsidRPr="000E57F5">
        <w:rPr>
          <w:sz w:val="24"/>
          <w:szCs w:val="24"/>
          <w:lang w:eastAsia="en-GB"/>
        </w:rPr>
        <w:t>.   This has led to a call for</w:t>
      </w:r>
      <w:r w:rsidRPr="000E57F5">
        <w:rPr>
          <w:b/>
          <w:sz w:val="24"/>
          <w:szCs w:val="24"/>
          <w:lang w:eastAsia="en-GB"/>
        </w:rPr>
        <w:t xml:space="preserve"> greater flexibility and discretion in the management of compliance and breach</w:t>
      </w:r>
      <w:r w:rsidRPr="000E57F5">
        <w:rPr>
          <w:sz w:val="24"/>
          <w:szCs w:val="24"/>
          <w:vertAlign w:val="superscript"/>
          <w:lang w:eastAsia="en-GB"/>
        </w:rPr>
        <w:endnoteReference w:id="231"/>
      </w:r>
      <w:r w:rsidRPr="000E57F5">
        <w:rPr>
          <w:sz w:val="24"/>
          <w:szCs w:val="24"/>
          <w:lang w:eastAsia="en-GB"/>
        </w:rPr>
        <w:t xml:space="preserve">.  These issues, though concerned with community sentences are of relevance to any discussions about the </w:t>
      </w:r>
      <w:r w:rsidR="001A525F" w:rsidRPr="000E57F5">
        <w:rPr>
          <w:sz w:val="24"/>
          <w:szCs w:val="24"/>
          <w:lang w:eastAsia="en-GB"/>
        </w:rPr>
        <w:t xml:space="preserve">increased </w:t>
      </w:r>
      <w:r w:rsidRPr="000E57F5">
        <w:rPr>
          <w:sz w:val="24"/>
          <w:szCs w:val="24"/>
          <w:lang w:eastAsia="en-GB"/>
        </w:rPr>
        <w:t xml:space="preserve">supervision of women in the community (e.g. </w:t>
      </w:r>
      <w:r w:rsidR="00951A80" w:rsidRPr="000E57F5">
        <w:rPr>
          <w:sz w:val="24"/>
          <w:szCs w:val="24"/>
          <w:lang w:eastAsia="en-GB"/>
        </w:rPr>
        <w:t xml:space="preserve">through </w:t>
      </w:r>
      <w:r w:rsidRPr="000E57F5">
        <w:rPr>
          <w:sz w:val="24"/>
          <w:szCs w:val="24"/>
          <w:lang w:eastAsia="en-GB"/>
        </w:rPr>
        <w:t>electronic monitoring).</w:t>
      </w:r>
    </w:p>
    <w:p w14:paraId="61D8AD85" w14:textId="77777777" w:rsidR="008A37EC" w:rsidRPr="00033D2A" w:rsidRDefault="008A37EC" w:rsidP="00033D2A">
      <w:pPr>
        <w:pStyle w:val="SGBullet"/>
        <w:rPr>
          <w:sz w:val="24"/>
          <w:szCs w:val="24"/>
        </w:rPr>
      </w:pPr>
      <w:r w:rsidRPr="000E57F5">
        <w:rPr>
          <w:sz w:val="24"/>
          <w:szCs w:val="24"/>
        </w:rPr>
        <w:t xml:space="preserve">Recognition that women are </w:t>
      </w:r>
      <w:r w:rsidRPr="000E57F5">
        <w:rPr>
          <w:b/>
          <w:sz w:val="24"/>
          <w:szCs w:val="24"/>
        </w:rPr>
        <w:t>not a homogenous group</w:t>
      </w:r>
      <w:r w:rsidRPr="000E57F5">
        <w:rPr>
          <w:sz w:val="24"/>
          <w:szCs w:val="24"/>
        </w:rPr>
        <w:t>, with some arguing that gender</w:t>
      </w:r>
      <w:r w:rsidR="00951A80" w:rsidRPr="000E57F5">
        <w:rPr>
          <w:sz w:val="24"/>
          <w:szCs w:val="24"/>
        </w:rPr>
        <w:t>-specific</w:t>
      </w:r>
      <w:r w:rsidRPr="000E57F5">
        <w:rPr>
          <w:sz w:val="24"/>
          <w:szCs w:val="24"/>
        </w:rPr>
        <w:t xml:space="preserve"> models fail to take sufficient account of women’s ethnicity, age and social status, and their </w:t>
      </w:r>
      <w:r w:rsidR="00951A80" w:rsidRPr="000E57F5">
        <w:rPr>
          <w:sz w:val="24"/>
          <w:szCs w:val="24"/>
        </w:rPr>
        <w:t>distinctive</w:t>
      </w:r>
      <w:r w:rsidRPr="000E57F5">
        <w:rPr>
          <w:sz w:val="24"/>
          <w:szCs w:val="24"/>
        </w:rPr>
        <w:t xml:space="preserve"> needs</w:t>
      </w:r>
      <w:r w:rsidRPr="000E57F5">
        <w:rPr>
          <w:sz w:val="24"/>
          <w:szCs w:val="24"/>
          <w:vertAlign w:val="superscript"/>
        </w:rPr>
        <w:endnoteReference w:id="232"/>
      </w:r>
      <w:r w:rsidRPr="000E57F5">
        <w:rPr>
          <w:sz w:val="24"/>
          <w:szCs w:val="24"/>
        </w:rPr>
        <w:t>.</w:t>
      </w:r>
      <w:r w:rsidRPr="008A37EC">
        <w:br w:type="page"/>
      </w:r>
    </w:p>
    <w:p w14:paraId="5085B250" w14:textId="77777777" w:rsidR="008A37EC" w:rsidRPr="00246F60" w:rsidRDefault="008A37EC" w:rsidP="00246F60">
      <w:pPr>
        <w:pStyle w:val="Heading1blue"/>
        <w:numPr>
          <w:ilvl w:val="0"/>
          <w:numId w:val="33"/>
        </w:numPr>
        <w:rPr>
          <w:rFonts w:eastAsiaTheme="majorEastAsia"/>
        </w:rPr>
      </w:pPr>
      <w:bookmarkStart w:id="56" w:name="_Toc419291724"/>
      <w:bookmarkStart w:id="57" w:name="_Ref424196789"/>
      <w:bookmarkStart w:id="58" w:name="_Toc429555830"/>
      <w:r w:rsidRPr="00246F60">
        <w:rPr>
          <w:rFonts w:eastAsiaTheme="majorEastAsia"/>
        </w:rPr>
        <w:lastRenderedPageBreak/>
        <w:t>Redefining Custody?</w:t>
      </w:r>
      <w:bookmarkEnd w:id="56"/>
      <w:bookmarkEnd w:id="57"/>
      <w:bookmarkEnd w:id="58"/>
      <w:r w:rsidRPr="00246F60">
        <w:rPr>
          <w:rFonts w:eastAsiaTheme="majorEastAsia"/>
        </w:rPr>
        <w:t xml:space="preserve"> </w:t>
      </w:r>
    </w:p>
    <w:p w14:paraId="34168F97" w14:textId="77777777" w:rsidR="00163E7C" w:rsidRPr="008A37EC" w:rsidRDefault="00163E7C" w:rsidP="00402D02">
      <w:pPr>
        <w:pStyle w:val="SGBodytext"/>
      </w:pPr>
    </w:p>
    <w:p w14:paraId="608F563E" w14:textId="77777777" w:rsidR="008A37EC" w:rsidRPr="008A37EC" w:rsidRDefault="008A37EC" w:rsidP="00402D02">
      <w:pPr>
        <w:pStyle w:val="SGBodytext"/>
      </w:pPr>
      <w:r w:rsidRPr="008A37EC">
        <w:t xml:space="preserve">Despite </w:t>
      </w:r>
      <w:r w:rsidR="00951A80">
        <w:t xml:space="preserve">some </w:t>
      </w:r>
      <w:r w:rsidRPr="008A37EC">
        <w:t>concerns about the use of community sanctions as an alternative to prison</w:t>
      </w:r>
      <w:r w:rsidR="00797B8F">
        <w:t xml:space="preserve"> (see previous section)</w:t>
      </w:r>
      <w:r w:rsidRPr="008A37EC">
        <w:t xml:space="preserve">, there is increasingly more evidence that </w:t>
      </w:r>
      <w:r w:rsidRPr="00797B8F">
        <w:rPr>
          <w:b/>
        </w:rPr>
        <w:t>women are less likely to reoffend following a community sentence</w:t>
      </w:r>
      <w:r w:rsidRPr="008A37EC">
        <w:t xml:space="preserve"> than a custodial one, and that these differences are not a result of differences in the women serving them</w:t>
      </w:r>
      <w:r w:rsidRPr="008A37EC">
        <w:rPr>
          <w:vertAlign w:val="superscript"/>
        </w:rPr>
        <w:endnoteReference w:id="233"/>
      </w:r>
      <w:r w:rsidRPr="008A37EC">
        <w:t xml:space="preserve">.  </w:t>
      </w:r>
      <w:r w:rsidR="006220BA">
        <w:t>I</w:t>
      </w:r>
      <w:r w:rsidRPr="008A37EC">
        <w:t xml:space="preserve">t is likely that family and community connections, continuity of </w:t>
      </w:r>
      <w:r w:rsidR="00ED3F7F">
        <w:t xml:space="preserve">local </w:t>
      </w:r>
      <w:r w:rsidR="00951A80">
        <w:t>service delivery</w:t>
      </w:r>
      <w:r w:rsidRPr="008A37EC">
        <w:t xml:space="preserve"> and normal daily life play a key role.  Similarly, the detrimental effects of prison on women is well-evidenced (including loss of accommodation, relationship breakdown, separation from children, worsening debts and social marginalisation).</w:t>
      </w:r>
      <w:r w:rsidRPr="008A37EC">
        <w:rPr>
          <w:vertAlign w:val="superscript"/>
        </w:rPr>
        <w:endnoteReference w:id="234"/>
      </w:r>
      <w:r w:rsidRPr="008A37EC">
        <w:rPr>
          <w:vertAlign w:val="superscript"/>
        </w:rPr>
        <w:t>,</w:t>
      </w:r>
      <w:r w:rsidRPr="008A37EC">
        <w:rPr>
          <w:vertAlign w:val="superscript"/>
        </w:rPr>
        <w:endnoteReference w:id="235"/>
      </w:r>
    </w:p>
    <w:p w14:paraId="75EC5FD0" w14:textId="77777777" w:rsidR="008A37EC" w:rsidRPr="008A37EC" w:rsidRDefault="008A37EC" w:rsidP="00402D02">
      <w:pPr>
        <w:pStyle w:val="SGBodytext"/>
      </w:pPr>
      <w:r w:rsidRPr="008A37EC">
        <w:t xml:space="preserve">This short review has made reference to </w:t>
      </w:r>
      <w:r w:rsidR="00ED3F7F">
        <w:t xml:space="preserve">some of </w:t>
      </w:r>
      <w:r w:rsidRPr="008A37EC">
        <w:t xml:space="preserve">the benefits as well as the limitations of </w:t>
      </w:r>
      <w:r w:rsidR="00951A80">
        <w:t>small</w:t>
      </w:r>
      <w:r w:rsidR="00163E7C">
        <w:t xml:space="preserve">, local and/or </w:t>
      </w:r>
      <w:r w:rsidR="00ED3F7F">
        <w:t>regional</w:t>
      </w:r>
      <w:r w:rsidR="00951A80">
        <w:t xml:space="preserve"> prisons, </w:t>
      </w:r>
      <w:r w:rsidRPr="008A37EC">
        <w:t>and highlighted the importance of the views and practice of sentencers and the wider penal (and societal) culture.  Indeed, countries with lower rates of female prison populations tend to have different sentencing practices, as well as a far greater use of open prisons and halfway houses than is currently available in Scotland.</w:t>
      </w:r>
    </w:p>
    <w:p w14:paraId="08249FDC" w14:textId="77777777" w:rsidR="009A3A25" w:rsidRDefault="008A37EC" w:rsidP="00402D02">
      <w:pPr>
        <w:pStyle w:val="SGBodytext"/>
      </w:pPr>
      <w:r w:rsidRPr="008A37EC">
        <w:t xml:space="preserve">These issues raise questions about the function of custody and for whom it is most appropriate (i.e. the custody threshold).  The </w:t>
      </w:r>
      <w:r w:rsidRPr="009A3A25">
        <w:rPr>
          <w:b/>
        </w:rPr>
        <w:t>appropriateness of remand and short sentences</w:t>
      </w:r>
      <w:r w:rsidRPr="008A37EC">
        <w:t xml:space="preserve">, in particular, have been questioned by a number of experts, with some </w:t>
      </w:r>
      <w:r w:rsidR="009A3A25">
        <w:t>arguing against the ‘over-use of remand for women’</w:t>
      </w:r>
      <w:r w:rsidR="009A3A25">
        <w:rPr>
          <w:rStyle w:val="EndnoteReference"/>
        </w:rPr>
        <w:endnoteReference w:id="236"/>
      </w:r>
      <w:r w:rsidR="00FC4BA1">
        <w:t xml:space="preserve"> -</w:t>
      </w:r>
      <w:r w:rsidR="007C6BC6">
        <w:t xml:space="preserve"> particularly as </w:t>
      </w:r>
      <w:r w:rsidR="00951A80">
        <w:t>approximately</w:t>
      </w:r>
      <w:r w:rsidR="007C6BC6">
        <w:t xml:space="preserve"> </w:t>
      </w:r>
      <w:r w:rsidR="00951A80">
        <w:t>two</w:t>
      </w:r>
      <w:r w:rsidR="007C6BC6">
        <w:t xml:space="preserve"> third</w:t>
      </w:r>
      <w:r w:rsidR="00951A80">
        <w:t>s</w:t>
      </w:r>
      <w:r w:rsidR="007C6BC6">
        <w:t xml:space="preserve"> of women on remand </w:t>
      </w:r>
      <w:r w:rsidR="00951A80">
        <w:t xml:space="preserve">do not </w:t>
      </w:r>
      <w:r w:rsidR="007C6BC6">
        <w:t>receive a custodial sentence</w:t>
      </w:r>
      <w:r w:rsidR="007C6BC6">
        <w:rPr>
          <w:rStyle w:val="EndnoteReference"/>
        </w:rPr>
        <w:endnoteReference w:id="237"/>
      </w:r>
      <w:r w:rsidR="00FC4BA1">
        <w:t xml:space="preserve">.  Similarly, </w:t>
      </w:r>
      <w:r w:rsidR="00951A80">
        <w:t xml:space="preserve">a number of </w:t>
      </w:r>
      <w:r w:rsidR="00FC4BA1">
        <w:t xml:space="preserve">organisations </w:t>
      </w:r>
      <w:r w:rsidR="00951A80">
        <w:t xml:space="preserve">have </w:t>
      </w:r>
      <w:r w:rsidR="00FC4BA1">
        <w:t>voice</w:t>
      </w:r>
      <w:r w:rsidR="00951A80">
        <w:t>d</w:t>
      </w:r>
      <w:r w:rsidR="00FC4BA1">
        <w:t xml:space="preserve"> concerns about the </w:t>
      </w:r>
      <w:r w:rsidR="007C6BC6">
        <w:t>use of custody for low-level</w:t>
      </w:r>
      <w:r w:rsidR="00377FBE">
        <w:t>,</w:t>
      </w:r>
      <w:r w:rsidR="007C6BC6">
        <w:t xml:space="preserve"> non-violent offences committed by women</w:t>
      </w:r>
      <w:r w:rsidR="00377FBE">
        <w:t xml:space="preserve"> (e.g. the Prison Reform Trust, Scottish Consortium for Crime and Criminal Justice)</w:t>
      </w:r>
      <w:r w:rsidR="007C6BC6">
        <w:rPr>
          <w:rStyle w:val="EndnoteReference"/>
        </w:rPr>
        <w:endnoteReference w:id="238"/>
      </w:r>
      <w:r w:rsidR="007C6BC6">
        <w:t>.</w:t>
      </w:r>
      <w:r w:rsidR="00ED3F7F">
        <w:t xml:space="preserve">  </w:t>
      </w:r>
    </w:p>
    <w:p w14:paraId="0015609D" w14:textId="77777777" w:rsidR="008A37EC" w:rsidRPr="008A37EC" w:rsidRDefault="008A37EC" w:rsidP="00402D02">
      <w:pPr>
        <w:pStyle w:val="SGBodytext"/>
        <w:rPr>
          <w:rFonts w:eastAsiaTheme="majorEastAsia"/>
          <w:color w:val="4F81BD" w:themeColor="accent1"/>
          <w:spacing w:val="15"/>
        </w:rPr>
      </w:pPr>
      <w:r w:rsidRPr="008A37EC">
        <w:t xml:space="preserve">Reimagining what custody might look is outwith the remit of this report.  However, it is relevant to any discussion </w:t>
      </w:r>
      <w:r w:rsidR="00377FBE">
        <w:t>about</w:t>
      </w:r>
      <w:r w:rsidRPr="008A37EC">
        <w:t xml:space="preserve"> prison redesign.  </w:t>
      </w:r>
      <w:r w:rsidR="006D2CE4">
        <w:t>A woman</w:t>
      </w:r>
      <w:r w:rsidRPr="008A37EC">
        <w:t xml:space="preserve"> might be considered to be ‘in custody’ whilst serving </w:t>
      </w:r>
      <w:r w:rsidR="006D2CE4">
        <w:t>her</w:t>
      </w:r>
      <w:r w:rsidRPr="008A37EC">
        <w:t xml:space="preserve"> sentence at home</w:t>
      </w:r>
      <w:r w:rsidR="00ED3F7F">
        <w:t xml:space="preserve"> (under curfew)</w:t>
      </w:r>
      <w:r w:rsidRPr="008A37EC">
        <w:t xml:space="preserve">, or at work whilst </w:t>
      </w:r>
      <w:r w:rsidR="00ED3F7F">
        <w:t>being held at</w:t>
      </w:r>
      <w:r w:rsidRPr="008A37EC">
        <w:t xml:space="preserve"> an open prison.  It is in this sense that a </w:t>
      </w:r>
      <w:r w:rsidRPr="006D2CE4">
        <w:rPr>
          <w:b/>
        </w:rPr>
        <w:t>redefinition of custody</w:t>
      </w:r>
      <w:r w:rsidRPr="008A37EC">
        <w:t xml:space="preserve"> could be an important aspect of </w:t>
      </w:r>
      <w:r w:rsidR="00FC4BA1">
        <w:t xml:space="preserve">regime </w:t>
      </w:r>
      <w:r w:rsidRPr="008A37EC">
        <w:t>change.</w:t>
      </w:r>
      <w:r w:rsidR="00ED3F7F">
        <w:t xml:space="preserve">  In these circumstances, careful consideration would need to be given on how to manage non-compliance, as well </w:t>
      </w:r>
      <w:r w:rsidR="00163E7C">
        <w:t>as to the</w:t>
      </w:r>
      <w:r w:rsidR="00ED3F7F">
        <w:t xml:space="preserve"> public perception of </w:t>
      </w:r>
      <w:r w:rsidR="00B95BC4">
        <w:t xml:space="preserve">seemingly less punitive measures (see </w:t>
      </w:r>
      <w:r w:rsidR="00163E7C" w:rsidRPr="00EB29FB">
        <w:rPr>
          <w:i/>
        </w:rPr>
        <w:t>Security</w:t>
      </w:r>
      <w:r w:rsidR="00163E7C">
        <w:t xml:space="preserve"> and </w:t>
      </w:r>
      <w:r w:rsidR="00B95BC4" w:rsidRPr="00EB29FB">
        <w:rPr>
          <w:i/>
        </w:rPr>
        <w:t>Public acceptability</w:t>
      </w:r>
      <w:r w:rsidR="00B95BC4">
        <w:t xml:space="preserve"> </w:t>
      </w:r>
      <w:r w:rsidR="00163E7C">
        <w:t xml:space="preserve">sections </w:t>
      </w:r>
      <w:r w:rsidR="00B95BC4">
        <w:t>in Chapter 8)</w:t>
      </w:r>
      <w:r w:rsidR="00E944C8">
        <w:t>.</w:t>
      </w:r>
      <w:r w:rsidRPr="008A37EC">
        <w:br w:type="page"/>
      </w:r>
    </w:p>
    <w:p w14:paraId="4F282886" w14:textId="77777777" w:rsidR="008A37EC" w:rsidRPr="00BE6CDA" w:rsidRDefault="008A37EC" w:rsidP="00BE6CDA">
      <w:pPr>
        <w:pStyle w:val="Heading1blue"/>
        <w:numPr>
          <w:ilvl w:val="0"/>
          <w:numId w:val="33"/>
        </w:numPr>
        <w:rPr>
          <w:rFonts w:eastAsiaTheme="majorEastAsia"/>
        </w:rPr>
      </w:pPr>
      <w:bookmarkStart w:id="59" w:name="_Toc419291725"/>
      <w:bookmarkStart w:id="60" w:name="_Toc429555831"/>
      <w:r w:rsidRPr="00BE6CDA">
        <w:rPr>
          <w:rFonts w:eastAsiaTheme="majorEastAsia"/>
        </w:rPr>
        <w:lastRenderedPageBreak/>
        <w:t>Conclusions</w:t>
      </w:r>
      <w:bookmarkEnd w:id="59"/>
      <w:bookmarkEnd w:id="60"/>
      <w:r w:rsidRPr="00BE6CDA">
        <w:rPr>
          <w:rFonts w:eastAsiaTheme="majorEastAsia"/>
        </w:rPr>
        <w:t xml:space="preserve"> </w:t>
      </w:r>
    </w:p>
    <w:p w14:paraId="52A76D14" w14:textId="77777777" w:rsidR="00E944C8" w:rsidRDefault="00E944C8" w:rsidP="00402D02">
      <w:pPr>
        <w:pStyle w:val="SGBodytext"/>
      </w:pPr>
    </w:p>
    <w:p w14:paraId="7C107BEB" w14:textId="77777777" w:rsidR="00A85324" w:rsidRPr="00EB29FB" w:rsidRDefault="00A85324" w:rsidP="00402D02">
      <w:pPr>
        <w:pStyle w:val="SGBodytext"/>
      </w:pPr>
      <w:r>
        <w:t>The evidence suggests that, whilst there</w:t>
      </w:r>
      <w:r w:rsidRPr="008A37EC">
        <w:t xml:space="preserve"> are </w:t>
      </w:r>
      <w:r w:rsidRPr="00EB29FB">
        <w:t xml:space="preserve">sound reasons for considering </w:t>
      </w:r>
      <w:r w:rsidR="00377FBE" w:rsidRPr="00EB29FB">
        <w:t xml:space="preserve">smaller, more local prisons </w:t>
      </w:r>
      <w:r w:rsidR="006D0FA9" w:rsidRPr="00EB29FB">
        <w:t>which bring</w:t>
      </w:r>
      <w:r w:rsidRPr="00EB29FB">
        <w:t xml:space="preserve"> women in custody closer to their families, social networks and local community services, the evidence on the impact (e.g. on </w:t>
      </w:r>
      <w:r w:rsidR="006D0FA9" w:rsidRPr="00EB29FB">
        <w:t>reoffending)</w:t>
      </w:r>
      <w:r w:rsidR="00377FBE" w:rsidRPr="00EB29FB">
        <w:t xml:space="preserve"> of specific prions models </w:t>
      </w:r>
      <w:r w:rsidRPr="00EB29FB">
        <w:t xml:space="preserve">is fairly limited.  </w:t>
      </w:r>
      <w:r w:rsidR="00377FBE" w:rsidRPr="00EB29FB">
        <w:t xml:space="preserve">That being said, </w:t>
      </w:r>
      <w:r w:rsidR="00100B55" w:rsidRPr="00EB29FB">
        <w:t xml:space="preserve">there is some evidence of reduced reoffending </w:t>
      </w:r>
      <w:r w:rsidR="007205F2" w:rsidRPr="00EB29FB">
        <w:t>in</w:t>
      </w:r>
      <w:r w:rsidR="00100B55" w:rsidRPr="00EB29FB">
        <w:t xml:space="preserve"> a number of community residential facilities.  Similarly, countries wi</w:t>
      </w:r>
      <w:r w:rsidR="006D0FA9" w:rsidRPr="00EB29FB">
        <w:t xml:space="preserve">th penal systems </w:t>
      </w:r>
      <w:r w:rsidR="00797336" w:rsidRPr="00EB29FB">
        <w:t>comprising of</w:t>
      </w:r>
      <w:r w:rsidR="006D0FA9" w:rsidRPr="00EB29FB">
        <w:t xml:space="preserve"> </w:t>
      </w:r>
      <w:r w:rsidR="00100B55" w:rsidRPr="00EB29FB">
        <w:t>smaller</w:t>
      </w:r>
      <w:r w:rsidR="00797336" w:rsidRPr="00EB29FB">
        <w:t xml:space="preserve">, women-only </w:t>
      </w:r>
      <w:r w:rsidR="00100B55" w:rsidRPr="00EB29FB">
        <w:t>custodial units</w:t>
      </w:r>
      <w:r w:rsidR="00797336" w:rsidRPr="00EB29FB">
        <w:t xml:space="preserve"> </w:t>
      </w:r>
      <w:r w:rsidR="000B6F34">
        <w:t>tend to report low</w:t>
      </w:r>
      <w:r w:rsidR="00100B55" w:rsidRPr="00EB29FB">
        <w:t xml:space="preserve"> rates of recidivism</w:t>
      </w:r>
      <w:r w:rsidR="006D0FA9" w:rsidRPr="00EB29FB">
        <w:rPr>
          <w:rStyle w:val="FootnoteReference"/>
        </w:rPr>
        <w:footnoteReference w:id="28"/>
      </w:r>
      <w:r w:rsidR="00100B55" w:rsidRPr="00EB29FB">
        <w:t>.</w:t>
      </w:r>
      <w:r w:rsidR="006D0FA9" w:rsidRPr="00EB29FB">
        <w:t xml:space="preserve"> </w:t>
      </w:r>
    </w:p>
    <w:p w14:paraId="1F6ED68B" w14:textId="77777777" w:rsidR="008A37EC" w:rsidRPr="008A37EC" w:rsidRDefault="00100B55" w:rsidP="00402D02">
      <w:pPr>
        <w:pStyle w:val="SGBodytext"/>
      </w:pPr>
      <w:r>
        <w:t xml:space="preserve">There are clearly a </w:t>
      </w:r>
      <w:r w:rsidR="008A37EC" w:rsidRPr="008A37EC">
        <w:t xml:space="preserve">wide range of models of custody for women across and within different countries.  Notwithstanding the </w:t>
      </w:r>
      <w:r w:rsidR="00797336">
        <w:t>methodological problems in comparing</w:t>
      </w:r>
      <w:r w:rsidR="008A37EC" w:rsidRPr="008A37EC">
        <w:t xml:space="preserve"> different approaches </w:t>
      </w:r>
      <w:r w:rsidR="00797336">
        <w:t>(e.g. due to different sentencing, pri</w:t>
      </w:r>
      <w:r w:rsidR="00B35ADF">
        <w:t xml:space="preserve">son populations and crime rates) </w:t>
      </w:r>
      <w:r w:rsidR="008A37EC" w:rsidRPr="008A37EC">
        <w:t>and the limitations of transferring international models</w:t>
      </w:r>
      <w:r w:rsidR="008A37EC" w:rsidRPr="008A37EC">
        <w:rPr>
          <w:vertAlign w:val="superscript"/>
        </w:rPr>
        <w:endnoteReference w:id="239"/>
      </w:r>
      <w:r w:rsidR="00797336">
        <w:t xml:space="preserve"> </w:t>
      </w:r>
      <w:r w:rsidR="008A37EC" w:rsidRPr="008A37EC">
        <w:t xml:space="preserve">, there does appear to be a set of principles which tend to accompany low female prison populations.  </w:t>
      </w:r>
      <w:r w:rsidR="00A402CB">
        <w:t xml:space="preserve">These centre </w:t>
      </w:r>
      <w:r w:rsidR="00AB1316">
        <w:t xml:space="preserve">around the Scandinavian </w:t>
      </w:r>
      <w:r w:rsidR="00A85324">
        <w:t>concept</w:t>
      </w:r>
      <w:r w:rsidR="00AB1316">
        <w:t xml:space="preserve"> of ‘</w:t>
      </w:r>
      <w:r w:rsidR="00AB1316" w:rsidRPr="00AB1316">
        <w:rPr>
          <w:b/>
        </w:rPr>
        <w:t>normalisation</w:t>
      </w:r>
      <w:r w:rsidR="00AB1316" w:rsidRPr="00AB1316">
        <w:t>’</w:t>
      </w:r>
      <w:r w:rsidR="002F2230">
        <w:t xml:space="preserve"> and a </w:t>
      </w:r>
      <w:r w:rsidR="002F2230" w:rsidRPr="002F2230">
        <w:rPr>
          <w:b/>
        </w:rPr>
        <w:t>gender-specific ethos</w:t>
      </w:r>
      <w:r w:rsidR="00AB1316">
        <w:t>:</w:t>
      </w:r>
    </w:p>
    <w:p w14:paraId="7A2942D2" w14:textId="77777777" w:rsidR="008A37EC" w:rsidRPr="000E57F5" w:rsidRDefault="008A37EC" w:rsidP="006F0C6A">
      <w:pPr>
        <w:pStyle w:val="SGBullet"/>
        <w:rPr>
          <w:sz w:val="24"/>
          <w:szCs w:val="24"/>
          <w:lang w:eastAsia="en-GB"/>
        </w:rPr>
      </w:pPr>
      <w:r w:rsidRPr="000E57F5">
        <w:rPr>
          <w:i/>
          <w:sz w:val="24"/>
          <w:szCs w:val="24"/>
          <w:lang w:eastAsia="en-GB"/>
        </w:rPr>
        <w:t>pro-normalisation</w:t>
      </w:r>
      <w:r w:rsidRPr="000E57F5">
        <w:rPr>
          <w:sz w:val="24"/>
          <w:szCs w:val="24"/>
          <w:lang w:eastAsia="en-GB"/>
        </w:rPr>
        <w:t xml:space="preserve"> sentencing practices (e.g. greater use </w:t>
      </w:r>
      <w:r w:rsidR="00465088" w:rsidRPr="000E57F5">
        <w:rPr>
          <w:sz w:val="24"/>
          <w:szCs w:val="24"/>
          <w:lang w:eastAsia="en-GB"/>
        </w:rPr>
        <w:t xml:space="preserve">of </w:t>
      </w:r>
      <w:r w:rsidRPr="000E57F5">
        <w:rPr>
          <w:sz w:val="24"/>
          <w:szCs w:val="24"/>
          <w:lang w:eastAsia="en-GB"/>
        </w:rPr>
        <w:t xml:space="preserve">community </w:t>
      </w:r>
      <w:r w:rsidR="006343D1" w:rsidRPr="000E57F5">
        <w:rPr>
          <w:sz w:val="24"/>
          <w:szCs w:val="24"/>
          <w:lang w:eastAsia="en-GB"/>
        </w:rPr>
        <w:t>sanctions</w:t>
      </w:r>
      <w:r w:rsidR="008271BD" w:rsidRPr="000E57F5">
        <w:rPr>
          <w:sz w:val="24"/>
          <w:szCs w:val="24"/>
          <w:lang w:eastAsia="en-GB"/>
        </w:rPr>
        <w:t xml:space="preserve"> and open prisons/half-way houses</w:t>
      </w:r>
      <w:r w:rsidR="002F2230" w:rsidRPr="000E57F5">
        <w:rPr>
          <w:sz w:val="24"/>
          <w:szCs w:val="24"/>
          <w:lang w:eastAsia="en-GB"/>
        </w:rPr>
        <w:t xml:space="preserve"> which take account of women’s needs</w:t>
      </w:r>
      <w:r w:rsidRPr="000E57F5">
        <w:rPr>
          <w:sz w:val="24"/>
          <w:szCs w:val="24"/>
          <w:lang w:eastAsia="en-GB"/>
        </w:rPr>
        <w:t xml:space="preserve">) </w:t>
      </w:r>
    </w:p>
    <w:p w14:paraId="1BF57890" w14:textId="77777777" w:rsidR="008A37EC" w:rsidRPr="000E57F5" w:rsidRDefault="008A37EC" w:rsidP="006F0C6A">
      <w:pPr>
        <w:pStyle w:val="SGBullet"/>
        <w:rPr>
          <w:sz w:val="24"/>
          <w:szCs w:val="24"/>
          <w:lang w:eastAsia="en-GB"/>
        </w:rPr>
      </w:pPr>
      <w:r w:rsidRPr="000E57F5">
        <w:rPr>
          <w:i/>
          <w:sz w:val="24"/>
          <w:szCs w:val="24"/>
          <w:lang w:eastAsia="en-GB"/>
        </w:rPr>
        <w:t>pro-normalisation</w:t>
      </w:r>
      <w:r w:rsidRPr="000E57F5">
        <w:rPr>
          <w:sz w:val="24"/>
          <w:szCs w:val="24"/>
          <w:lang w:eastAsia="en-GB"/>
        </w:rPr>
        <w:t xml:space="preserve"> staff culture and training (e.g. </w:t>
      </w:r>
      <w:r w:rsidR="002F2230" w:rsidRPr="000E57F5">
        <w:rPr>
          <w:sz w:val="24"/>
          <w:szCs w:val="24"/>
          <w:lang w:eastAsia="en-GB"/>
        </w:rPr>
        <w:t xml:space="preserve">gender-specific </w:t>
      </w:r>
      <w:r w:rsidRPr="000E57F5">
        <w:rPr>
          <w:sz w:val="24"/>
          <w:szCs w:val="24"/>
          <w:lang w:eastAsia="en-GB"/>
        </w:rPr>
        <w:t>training wh</w:t>
      </w:r>
      <w:r w:rsidR="008271BD" w:rsidRPr="000E57F5">
        <w:rPr>
          <w:sz w:val="24"/>
          <w:szCs w:val="24"/>
          <w:lang w:eastAsia="en-GB"/>
        </w:rPr>
        <w:t xml:space="preserve">ich </w:t>
      </w:r>
      <w:r w:rsidR="006D0FA9" w:rsidRPr="000E57F5">
        <w:rPr>
          <w:sz w:val="24"/>
          <w:szCs w:val="24"/>
          <w:lang w:eastAsia="en-GB"/>
        </w:rPr>
        <w:t>balances supervision with preparing women for release</w:t>
      </w:r>
      <w:r w:rsidR="008271BD" w:rsidRPr="000E57F5">
        <w:rPr>
          <w:sz w:val="24"/>
          <w:szCs w:val="24"/>
          <w:lang w:eastAsia="en-GB"/>
        </w:rPr>
        <w:t>)</w:t>
      </w:r>
    </w:p>
    <w:p w14:paraId="331EF2F9" w14:textId="77777777" w:rsidR="002F2230" w:rsidRPr="000E57F5" w:rsidRDefault="002F2230" w:rsidP="006F0C6A">
      <w:pPr>
        <w:pStyle w:val="SGBullet"/>
        <w:rPr>
          <w:sz w:val="24"/>
          <w:szCs w:val="24"/>
          <w:lang w:eastAsia="en-GB"/>
        </w:rPr>
      </w:pPr>
      <w:r w:rsidRPr="000E57F5">
        <w:rPr>
          <w:i/>
          <w:sz w:val="24"/>
          <w:szCs w:val="24"/>
          <w:lang w:eastAsia="en-GB"/>
        </w:rPr>
        <w:t>pro-normalisation</w:t>
      </w:r>
      <w:r w:rsidRPr="000E57F5">
        <w:rPr>
          <w:sz w:val="24"/>
          <w:szCs w:val="24"/>
          <w:lang w:eastAsia="en-GB"/>
        </w:rPr>
        <w:t xml:space="preserve"> prison design and location (e.g. self-contained houses, family-friendly facilities, accessible location – for visitors and services)</w:t>
      </w:r>
    </w:p>
    <w:p w14:paraId="455BF8F2" w14:textId="77777777" w:rsidR="008A37EC" w:rsidRPr="000E57F5" w:rsidRDefault="008A37EC" w:rsidP="006F0C6A">
      <w:pPr>
        <w:pStyle w:val="SGBullet"/>
        <w:rPr>
          <w:sz w:val="24"/>
          <w:szCs w:val="24"/>
          <w:lang w:eastAsia="en-GB"/>
        </w:rPr>
      </w:pPr>
      <w:r w:rsidRPr="000E57F5">
        <w:rPr>
          <w:i/>
          <w:sz w:val="24"/>
          <w:szCs w:val="24"/>
          <w:lang w:eastAsia="en-GB"/>
        </w:rPr>
        <w:t>pro-normalisation</w:t>
      </w:r>
      <w:r w:rsidRPr="000E57F5">
        <w:rPr>
          <w:sz w:val="24"/>
          <w:szCs w:val="24"/>
          <w:lang w:eastAsia="en-GB"/>
        </w:rPr>
        <w:t xml:space="preserve"> prisoner </w:t>
      </w:r>
      <w:r w:rsidR="008271BD" w:rsidRPr="000E57F5">
        <w:rPr>
          <w:sz w:val="24"/>
          <w:szCs w:val="24"/>
          <w:lang w:eastAsia="en-GB"/>
        </w:rPr>
        <w:t>life</w:t>
      </w:r>
      <w:r w:rsidRPr="000E57F5">
        <w:rPr>
          <w:sz w:val="24"/>
          <w:szCs w:val="24"/>
          <w:lang w:eastAsia="en-GB"/>
        </w:rPr>
        <w:t xml:space="preserve"> (e.g. purposeful activiti</w:t>
      </w:r>
      <w:r w:rsidR="008271BD" w:rsidRPr="000E57F5">
        <w:rPr>
          <w:sz w:val="24"/>
          <w:szCs w:val="24"/>
          <w:lang w:eastAsia="en-GB"/>
        </w:rPr>
        <w:t xml:space="preserve">es in prison, ‘self-care’ approaches, parenting interventions) </w:t>
      </w:r>
    </w:p>
    <w:p w14:paraId="746A487B" w14:textId="77777777" w:rsidR="008A37EC" w:rsidRPr="000E57F5" w:rsidRDefault="008A37EC" w:rsidP="006F0C6A">
      <w:pPr>
        <w:pStyle w:val="SGBullet"/>
        <w:rPr>
          <w:sz w:val="24"/>
          <w:szCs w:val="24"/>
          <w:lang w:eastAsia="en-GB"/>
        </w:rPr>
      </w:pPr>
      <w:proofErr w:type="gramStart"/>
      <w:r w:rsidRPr="000E57F5">
        <w:rPr>
          <w:i/>
          <w:sz w:val="24"/>
          <w:szCs w:val="24"/>
          <w:lang w:eastAsia="en-GB"/>
        </w:rPr>
        <w:t>pro-normalisation</w:t>
      </w:r>
      <w:proofErr w:type="gramEnd"/>
      <w:r w:rsidRPr="000E57F5">
        <w:rPr>
          <w:sz w:val="24"/>
          <w:szCs w:val="24"/>
          <w:lang w:eastAsia="en-GB"/>
        </w:rPr>
        <w:t xml:space="preserve"> rehabilitation (e.g. </w:t>
      </w:r>
      <w:r w:rsidR="006343D1" w:rsidRPr="000E57F5">
        <w:rPr>
          <w:sz w:val="24"/>
          <w:szCs w:val="24"/>
          <w:lang w:eastAsia="en-GB"/>
        </w:rPr>
        <w:t>enabling</w:t>
      </w:r>
      <w:r w:rsidR="006D0FA9" w:rsidRPr="000E57F5">
        <w:rPr>
          <w:sz w:val="24"/>
          <w:szCs w:val="24"/>
          <w:lang w:eastAsia="en-GB"/>
        </w:rPr>
        <w:t xml:space="preserve"> women to access local services, work</w:t>
      </w:r>
      <w:r w:rsidR="001F081A" w:rsidRPr="000E57F5">
        <w:rPr>
          <w:sz w:val="24"/>
          <w:szCs w:val="24"/>
          <w:lang w:eastAsia="en-GB"/>
        </w:rPr>
        <w:t>,</w:t>
      </w:r>
      <w:r w:rsidR="006D0FA9" w:rsidRPr="000E57F5">
        <w:rPr>
          <w:sz w:val="24"/>
          <w:szCs w:val="24"/>
          <w:lang w:eastAsia="en-GB"/>
        </w:rPr>
        <w:t xml:space="preserve"> training etc. </w:t>
      </w:r>
      <w:r w:rsidR="006343D1" w:rsidRPr="000E57F5">
        <w:rPr>
          <w:sz w:val="24"/>
          <w:szCs w:val="24"/>
          <w:lang w:eastAsia="en-GB"/>
        </w:rPr>
        <w:t>whilst in custody</w:t>
      </w:r>
      <w:r w:rsidR="006D0FA9" w:rsidRPr="000E57F5">
        <w:rPr>
          <w:sz w:val="24"/>
          <w:szCs w:val="24"/>
          <w:lang w:eastAsia="en-GB"/>
        </w:rPr>
        <w:t xml:space="preserve"> and beyond</w:t>
      </w:r>
      <w:r w:rsidRPr="000E57F5">
        <w:rPr>
          <w:sz w:val="24"/>
          <w:szCs w:val="24"/>
          <w:lang w:eastAsia="en-GB"/>
        </w:rPr>
        <w:t>).</w:t>
      </w:r>
    </w:p>
    <w:p w14:paraId="2C6B9E75" w14:textId="77777777" w:rsidR="008A37EC" w:rsidRPr="008A37EC" w:rsidRDefault="008A37EC" w:rsidP="00402D02">
      <w:pPr>
        <w:pStyle w:val="SGBodytext"/>
      </w:pPr>
      <w:r w:rsidRPr="008A37EC">
        <w:t xml:space="preserve">Whilst prison </w:t>
      </w:r>
      <w:r w:rsidR="00BB5AD8">
        <w:t xml:space="preserve">size, </w:t>
      </w:r>
      <w:r w:rsidRPr="008A37EC">
        <w:t xml:space="preserve">design and location are important factors they are not in themselves guarantors of </w:t>
      </w:r>
      <w:r w:rsidR="00C97C61">
        <w:t>a low female prison population</w:t>
      </w:r>
      <w:r w:rsidRPr="008A37EC">
        <w:t xml:space="preserve">.  That being said, implementing an ethos of </w:t>
      </w:r>
      <w:r w:rsidRPr="008A37EC">
        <w:rPr>
          <w:b/>
        </w:rPr>
        <w:t>‘self-care’</w:t>
      </w:r>
      <w:r w:rsidR="003517DD">
        <w:rPr>
          <w:b/>
        </w:rPr>
        <w:t xml:space="preserve"> or independent living</w:t>
      </w:r>
      <w:r w:rsidRPr="008A37EC">
        <w:t xml:space="preserve"> is dependent to some extent on the availability of suitable facilities (e.g. </w:t>
      </w:r>
      <w:r w:rsidR="001006C8">
        <w:t>shared houses with access to shops</w:t>
      </w:r>
      <w:r w:rsidR="003517DD">
        <w:t>, laundry</w:t>
      </w:r>
      <w:r w:rsidR="001006C8">
        <w:t xml:space="preserve"> etc.</w:t>
      </w:r>
      <w:r w:rsidRPr="008A37EC">
        <w:t xml:space="preserve">).  Similarly, maintaining </w:t>
      </w:r>
      <w:r w:rsidRPr="008A37EC">
        <w:rPr>
          <w:b/>
        </w:rPr>
        <w:t>family and community</w:t>
      </w:r>
      <w:r w:rsidR="003517DD">
        <w:rPr>
          <w:b/>
        </w:rPr>
        <w:t xml:space="preserve"> ties</w:t>
      </w:r>
      <w:r w:rsidRPr="008A37EC">
        <w:rPr>
          <w:b/>
        </w:rPr>
        <w:t xml:space="preserve"> </w:t>
      </w:r>
      <w:r w:rsidR="00A402CB">
        <w:rPr>
          <w:b/>
        </w:rPr>
        <w:t>(including local services)</w:t>
      </w:r>
      <w:r w:rsidR="003517DD">
        <w:rPr>
          <w:b/>
        </w:rPr>
        <w:t xml:space="preserve"> </w:t>
      </w:r>
      <w:r w:rsidRPr="008A37EC">
        <w:t xml:space="preserve">is better served by prisons located close to women’s homes.  </w:t>
      </w:r>
      <w:r w:rsidR="000E741B">
        <w:t xml:space="preserve"> </w:t>
      </w:r>
    </w:p>
    <w:p w14:paraId="37AAA713" w14:textId="77777777" w:rsidR="008A37EC" w:rsidRPr="008A37EC" w:rsidRDefault="002F2230" w:rsidP="00402D02">
      <w:pPr>
        <w:pStyle w:val="SGBodytext"/>
      </w:pPr>
      <w:r>
        <w:t xml:space="preserve">Given the </w:t>
      </w:r>
      <w:r w:rsidR="000E741B">
        <w:t xml:space="preserve">lack </w:t>
      </w:r>
      <w:r>
        <w:t xml:space="preserve">of </w:t>
      </w:r>
      <w:r w:rsidR="000E741B">
        <w:t xml:space="preserve">robust </w:t>
      </w:r>
      <w:r>
        <w:t xml:space="preserve">evidence regarding the effectiveness (e.g. on reoffending rates) of specific models of custody it is </w:t>
      </w:r>
      <w:r w:rsidRPr="008B4565">
        <w:rPr>
          <w:b/>
        </w:rPr>
        <w:t xml:space="preserve">difficult to </w:t>
      </w:r>
      <w:r w:rsidR="00371380" w:rsidRPr="008B4565">
        <w:rPr>
          <w:b/>
        </w:rPr>
        <w:t xml:space="preserve">draw </w:t>
      </w:r>
      <w:r w:rsidR="000E741B">
        <w:rPr>
          <w:b/>
        </w:rPr>
        <w:t>definitive</w:t>
      </w:r>
      <w:r w:rsidR="000E741B" w:rsidRPr="008B4565">
        <w:rPr>
          <w:b/>
        </w:rPr>
        <w:t xml:space="preserve"> </w:t>
      </w:r>
      <w:r w:rsidR="00371380" w:rsidRPr="008B4565">
        <w:rPr>
          <w:b/>
        </w:rPr>
        <w:t>conclusions on ‘what works’</w:t>
      </w:r>
      <w:r>
        <w:t xml:space="preserve">.  Rather what appears important is that that </w:t>
      </w:r>
      <w:r w:rsidR="008B4565">
        <w:t xml:space="preserve">any redesign of a </w:t>
      </w:r>
      <w:r w:rsidR="008A37EC" w:rsidRPr="008A37EC">
        <w:t xml:space="preserve">custodial estate </w:t>
      </w:r>
      <w:r w:rsidR="008B4565">
        <w:t>is</w:t>
      </w:r>
      <w:r w:rsidR="008A37EC" w:rsidRPr="008A37EC">
        <w:t xml:space="preserve"> </w:t>
      </w:r>
      <w:r w:rsidR="00A85324">
        <w:t xml:space="preserve">undertaken </w:t>
      </w:r>
      <w:r w:rsidR="008A37EC" w:rsidRPr="008A37EC">
        <w:t xml:space="preserve">as </w:t>
      </w:r>
      <w:r w:rsidR="008A37EC" w:rsidRPr="008B4565">
        <w:rPr>
          <w:b/>
        </w:rPr>
        <w:t xml:space="preserve">one </w:t>
      </w:r>
      <w:r w:rsidR="001006C8">
        <w:rPr>
          <w:b/>
        </w:rPr>
        <w:t xml:space="preserve">important </w:t>
      </w:r>
      <w:r w:rsidR="008A37EC" w:rsidRPr="008B4565">
        <w:rPr>
          <w:b/>
        </w:rPr>
        <w:t>element of an overarching strategy</w:t>
      </w:r>
      <w:r w:rsidR="008A37EC" w:rsidRPr="008A37EC">
        <w:t xml:space="preserve"> which aims to reduce female offending, imprisonment and reoffending (and, possibly, intergenerational offending).  This report has only touched on some of the wider issues that a regime change in female imprisonment in Scotland </w:t>
      </w:r>
      <w:r w:rsidR="003517DD">
        <w:t>might</w:t>
      </w:r>
      <w:r w:rsidR="008A37EC" w:rsidRPr="008A37EC">
        <w:t xml:space="preserve"> consider</w:t>
      </w:r>
      <w:r w:rsidR="003517DD">
        <w:t>,</w:t>
      </w:r>
      <w:r w:rsidR="008A37EC" w:rsidRPr="008A37EC">
        <w:t xml:space="preserve"> such as sentencing practices, cus</w:t>
      </w:r>
      <w:r w:rsidR="00060A03">
        <w:t xml:space="preserve">tody </w:t>
      </w:r>
      <w:r w:rsidR="00060A03">
        <w:lastRenderedPageBreak/>
        <w:t xml:space="preserve">thresholds, </w:t>
      </w:r>
      <w:r w:rsidR="001006C8" w:rsidRPr="00EB29FB">
        <w:t>service</w:t>
      </w:r>
      <w:r w:rsidR="00060A03" w:rsidRPr="00EB29FB">
        <w:t xml:space="preserve"> capacity</w:t>
      </w:r>
      <w:r w:rsidR="001006C8" w:rsidRPr="00EB29FB">
        <w:t xml:space="preserve"> (both in prisons and the community)</w:t>
      </w:r>
      <w:r w:rsidR="008A37EC" w:rsidRPr="00EB29FB">
        <w:t xml:space="preserve">, </w:t>
      </w:r>
      <w:r w:rsidR="008A37EC" w:rsidRPr="008A37EC">
        <w:t>arrang</w:t>
      </w:r>
      <w:r w:rsidR="00060A03">
        <w:t xml:space="preserve">ements with other </w:t>
      </w:r>
      <w:r w:rsidR="00B35ADF">
        <w:t>community-based</w:t>
      </w:r>
      <w:r w:rsidR="00337AB7">
        <w:t xml:space="preserve"> </w:t>
      </w:r>
      <w:r w:rsidR="008A37EC" w:rsidRPr="008A37EC">
        <w:t>service providers</w:t>
      </w:r>
      <w:r w:rsidR="00060A03">
        <w:t xml:space="preserve"> (specialist and universal)</w:t>
      </w:r>
      <w:r w:rsidR="008A37EC" w:rsidRPr="008A37EC">
        <w:t xml:space="preserve">, public acceptance, </w:t>
      </w:r>
      <w:r w:rsidR="008A37EC" w:rsidRPr="00BE6CDA">
        <w:t>values, leadership</w:t>
      </w:r>
      <w:r w:rsidR="00060A03">
        <w:t xml:space="preserve"> </w:t>
      </w:r>
      <w:r w:rsidR="008A37EC" w:rsidRPr="00BE6CDA">
        <w:t xml:space="preserve"> </w:t>
      </w:r>
      <w:r w:rsidR="003517DD">
        <w:t>and professional development of</w:t>
      </w:r>
      <w:r w:rsidR="008A37EC" w:rsidRPr="00BE6CDA">
        <w:t xml:space="preserve"> </w:t>
      </w:r>
      <w:r w:rsidR="00337AB7">
        <w:t xml:space="preserve">criminal justice </w:t>
      </w:r>
      <w:r w:rsidR="008A37EC" w:rsidRPr="00BE6CDA">
        <w:t>staff,</w:t>
      </w:r>
      <w:r w:rsidR="008A37EC" w:rsidRPr="00BE6CDA">
        <w:rPr>
          <w:rFonts w:ascii="Calibri" w:hAnsi="Calibri" w:cs="Calibri"/>
          <w:sz w:val="22"/>
          <w:szCs w:val="22"/>
        </w:rPr>
        <w:t xml:space="preserve"> </w:t>
      </w:r>
      <w:r w:rsidR="008A37EC" w:rsidRPr="00BE6CDA">
        <w:t xml:space="preserve">and </w:t>
      </w:r>
      <w:r w:rsidR="008A37EC" w:rsidRPr="008A37EC">
        <w:t xml:space="preserve">security and compliance.  </w:t>
      </w:r>
    </w:p>
    <w:p w14:paraId="28D86310" w14:textId="77777777" w:rsidR="008A37EC" w:rsidRPr="008A37EC" w:rsidRDefault="008A37EC" w:rsidP="00402D02">
      <w:pPr>
        <w:pStyle w:val="SGBodytext"/>
      </w:pPr>
      <w:r w:rsidRPr="008A37EC">
        <w:t xml:space="preserve">However, </w:t>
      </w:r>
      <w:r w:rsidRPr="008A37EC">
        <w:rPr>
          <w:b/>
        </w:rPr>
        <w:t>much can be learned from other countries</w:t>
      </w:r>
      <w:r w:rsidRPr="008A37EC">
        <w:t xml:space="preserve"> and the steps that some have taken to improve the experiences and outcomes of women who offend and their families.  With the current drive for penal reform, Scotland is well-placed to learn from these experiences and develop an </w:t>
      </w:r>
      <w:r w:rsidRPr="00320B7D">
        <w:rPr>
          <w:b/>
        </w:rPr>
        <w:t>evidence-based</w:t>
      </w:r>
      <w:r w:rsidR="002C3554" w:rsidRPr="00320B7D">
        <w:rPr>
          <w:b/>
        </w:rPr>
        <w:t>,</w:t>
      </w:r>
      <w:r w:rsidRPr="00320B7D">
        <w:rPr>
          <w:b/>
        </w:rPr>
        <w:t xml:space="preserve"> gender-responsive approach</w:t>
      </w:r>
      <w:r w:rsidRPr="008A37EC">
        <w:t xml:space="preserve"> to working with women</w:t>
      </w:r>
      <w:r w:rsidR="001F081A">
        <w:t xml:space="preserve"> -</w:t>
      </w:r>
      <w:r w:rsidR="00C428CA">
        <w:t xml:space="preserve"> </w:t>
      </w:r>
      <w:r w:rsidR="008B4565">
        <w:t>at risk of</w:t>
      </w:r>
      <w:r w:rsidR="00F86598">
        <w:t xml:space="preserve"> custody</w:t>
      </w:r>
      <w:r w:rsidR="008B4565">
        <w:t>,</w:t>
      </w:r>
      <w:r w:rsidRPr="008A37EC">
        <w:t xml:space="preserve"> in </w:t>
      </w:r>
      <w:r w:rsidR="00F86598">
        <w:t xml:space="preserve">custody </w:t>
      </w:r>
      <w:r w:rsidR="008B4565">
        <w:t>and beyond custody</w:t>
      </w:r>
      <w:r w:rsidR="001F081A">
        <w:t xml:space="preserve"> -</w:t>
      </w:r>
      <w:r w:rsidR="002C3554">
        <w:t xml:space="preserve"> to improve their lives, and those of their families</w:t>
      </w:r>
      <w:r w:rsidR="000E741B">
        <w:t xml:space="preserve"> and communities</w:t>
      </w:r>
      <w:r w:rsidR="002C3554">
        <w:t>.</w:t>
      </w:r>
    </w:p>
    <w:p w14:paraId="105D2A84" w14:textId="77777777" w:rsidR="00BE6CDA" w:rsidRDefault="00BE6CDA">
      <w:pPr>
        <w:tabs>
          <w:tab w:val="clear" w:pos="720"/>
          <w:tab w:val="clear" w:pos="1440"/>
          <w:tab w:val="clear" w:pos="2160"/>
          <w:tab w:val="clear" w:pos="2880"/>
          <w:tab w:val="clear" w:pos="4680"/>
          <w:tab w:val="clear" w:pos="5400"/>
          <w:tab w:val="clear" w:pos="9000"/>
        </w:tabs>
        <w:spacing w:line="240" w:lineRule="auto"/>
        <w:rPr>
          <w:rFonts w:eastAsiaTheme="majorEastAsia" w:cs="Arial"/>
          <w:noProof/>
          <w:sz w:val="24"/>
          <w:szCs w:val="24"/>
          <w:lang w:eastAsia="en-GB"/>
        </w:rPr>
      </w:pPr>
      <w:bookmarkStart w:id="61" w:name="_Toc419291726"/>
      <w:r>
        <w:rPr>
          <w:rFonts w:eastAsiaTheme="majorEastAsia"/>
        </w:rPr>
        <w:br w:type="page"/>
      </w:r>
    </w:p>
    <w:p w14:paraId="6134CB4A" w14:textId="77777777" w:rsidR="008A37EC" w:rsidRPr="008A37EC" w:rsidRDefault="008A37EC" w:rsidP="00BE6CDA">
      <w:pPr>
        <w:pStyle w:val="Heading1blue"/>
        <w:rPr>
          <w:rFonts w:eastAsiaTheme="majorEastAsia"/>
        </w:rPr>
      </w:pPr>
      <w:bookmarkStart w:id="62" w:name="_Toc429555832"/>
      <w:r w:rsidRPr="008A37EC">
        <w:rPr>
          <w:rFonts w:eastAsiaTheme="majorEastAsia"/>
        </w:rPr>
        <w:lastRenderedPageBreak/>
        <w:t>Resources</w:t>
      </w:r>
      <w:bookmarkEnd w:id="61"/>
      <w:bookmarkEnd w:id="62"/>
      <w:r w:rsidRPr="008A37EC">
        <w:rPr>
          <w:rFonts w:eastAsiaTheme="majorEastAsia"/>
        </w:rPr>
        <w:t xml:space="preserve"> </w:t>
      </w:r>
    </w:p>
    <w:p w14:paraId="4167BEB5" w14:textId="77777777" w:rsidR="00BE6CDA" w:rsidRDefault="00BE6CDA" w:rsidP="00402D02">
      <w:pPr>
        <w:pStyle w:val="SGBodytext"/>
      </w:pPr>
    </w:p>
    <w:p w14:paraId="440C0404" w14:textId="77777777" w:rsidR="008A37EC" w:rsidRPr="008A37EC" w:rsidRDefault="008A37EC" w:rsidP="00402D02">
      <w:pPr>
        <w:pStyle w:val="SGBodytext"/>
      </w:pPr>
      <w:r w:rsidRPr="008A37EC">
        <w:t>This section provides links to relevant websites and reports which may be of interest to policymakers.</w:t>
      </w:r>
    </w:p>
    <w:p w14:paraId="1C02D443" w14:textId="77777777" w:rsidR="008A37EC" w:rsidRPr="008A37EC" w:rsidRDefault="008A37EC" w:rsidP="00BE6CDA">
      <w:pPr>
        <w:pStyle w:val="Heading2blue"/>
      </w:pPr>
      <w:bookmarkStart w:id="63" w:name="_Toc429555833"/>
      <w:r w:rsidRPr="008A37EC">
        <w:t>Relevant websites</w:t>
      </w:r>
      <w:bookmarkEnd w:id="63"/>
    </w:p>
    <w:p w14:paraId="3395DAC5" w14:textId="77777777" w:rsidR="008A37EC" w:rsidRPr="008A37EC" w:rsidRDefault="008A37EC" w:rsidP="00402D02">
      <w:pPr>
        <w:pStyle w:val="SGBodytext"/>
      </w:pPr>
      <w:r w:rsidRPr="008A37EC">
        <w:t>International Centre for Prison Studies</w:t>
      </w:r>
    </w:p>
    <w:p w14:paraId="16F67589" w14:textId="77777777" w:rsidR="008A37EC" w:rsidRDefault="00246821" w:rsidP="00402D02">
      <w:pPr>
        <w:pStyle w:val="SGBodytext"/>
        <w:rPr>
          <w:color w:val="0000FF"/>
          <w:u w:val="single"/>
        </w:rPr>
      </w:pPr>
      <w:hyperlink r:id="rId17" w:history="1">
        <w:r w:rsidR="008A37EC" w:rsidRPr="008A37EC">
          <w:rPr>
            <w:color w:val="0000FF"/>
            <w:u w:val="single"/>
          </w:rPr>
          <w:t>http://www.prisonstudies.org/</w:t>
        </w:r>
      </w:hyperlink>
    </w:p>
    <w:p w14:paraId="0807C491" w14:textId="77777777" w:rsidR="00AA558D" w:rsidRDefault="00AA558D" w:rsidP="00402D02">
      <w:pPr>
        <w:pStyle w:val="SGBodytext"/>
      </w:pPr>
      <w:r>
        <w:t>International Penal and Penitentiary Foundation</w:t>
      </w:r>
    </w:p>
    <w:p w14:paraId="2D0CA034" w14:textId="77777777" w:rsidR="00AA558D" w:rsidRDefault="00246821" w:rsidP="00402D02">
      <w:pPr>
        <w:pStyle w:val="SGBodytext"/>
      </w:pPr>
      <w:hyperlink r:id="rId18" w:history="1">
        <w:r w:rsidR="00AA558D" w:rsidRPr="008D4EA1">
          <w:rPr>
            <w:rStyle w:val="Hyperlink"/>
          </w:rPr>
          <w:t>http://www.internationalpenalandpenitentiaryfoundation.org/Site/anglais/anglais.htm</w:t>
        </w:r>
      </w:hyperlink>
      <w:r w:rsidR="00AA558D">
        <w:t xml:space="preserve"> </w:t>
      </w:r>
    </w:p>
    <w:p w14:paraId="586AC733" w14:textId="77777777" w:rsidR="008A37EC" w:rsidRPr="008A37EC" w:rsidRDefault="008A37EC" w:rsidP="00402D02">
      <w:pPr>
        <w:pStyle w:val="SGBodytext"/>
      </w:pPr>
      <w:r w:rsidRPr="008A37EC">
        <w:t>Irish Penal Reform Trust</w:t>
      </w:r>
    </w:p>
    <w:p w14:paraId="1368E757" w14:textId="77777777" w:rsidR="008A37EC" w:rsidRPr="008A37EC" w:rsidRDefault="00246821" w:rsidP="00402D02">
      <w:pPr>
        <w:pStyle w:val="SGBodytext"/>
      </w:pPr>
      <w:hyperlink r:id="rId19" w:history="1">
        <w:r w:rsidR="008A37EC" w:rsidRPr="008A37EC">
          <w:rPr>
            <w:color w:val="0000FF"/>
            <w:u w:val="single"/>
          </w:rPr>
          <w:t>http://www.iprt.ie/</w:t>
        </w:r>
      </w:hyperlink>
      <w:r w:rsidR="008A37EC" w:rsidRPr="008A37EC">
        <w:t xml:space="preserve"> </w:t>
      </w:r>
    </w:p>
    <w:p w14:paraId="3A7FB917" w14:textId="77777777" w:rsidR="008A37EC" w:rsidRPr="008A37EC" w:rsidRDefault="008A37EC" w:rsidP="00402D02">
      <w:pPr>
        <w:pStyle w:val="SGBodytext"/>
        <w:rPr>
          <w:bdr w:val="none" w:sz="0" w:space="0" w:color="auto" w:frame="1"/>
        </w:rPr>
      </w:pPr>
      <w:r w:rsidRPr="008A37EC">
        <w:rPr>
          <w:bdr w:val="none" w:sz="0" w:space="0" w:color="auto" w:frame="1"/>
        </w:rPr>
        <w:t>Penal Reform International</w:t>
      </w:r>
    </w:p>
    <w:p w14:paraId="50EC81F1" w14:textId="77777777" w:rsidR="008A37EC" w:rsidRPr="008A37EC" w:rsidRDefault="00246821" w:rsidP="00402D02">
      <w:pPr>
        <w:pStyle w:val="SGBodytext"/>
        <w:rPr>
          <w:bdr w:val="none" w:sz="0" w:space="0" w:color="auto" w:frame="1"/>
          <w:lang w:val="en"/>
        </w:rPr>
      </w:pPr>
      <w:hyperlink r:id="rId20" w:history="1">
        <w:r w:rsidR="008A37EC" w:rsidRPr="008A37EC">
          <w:rPr>
            <w:color w:val="0000FF"/>
            <w:u w:val="single"/>
            <w:bdr w:val="none" w:sz="0" w:space="0" w:color="auto" w:frame="1"/>
            <w:lang w:val="en"/>
          </w:rPr>
          <w:t>http://www.penalreform.org/priorities/women-in-the-criminal-justice-system/</w:t>
        </w:r>
      </w:hyperlink>
      <w:r w:rsidR="008A37EC" w:rsidRPr="008A37EC">
        <w:rPr>
          <w:bdr w:val="none" w:sz="0" w:space="0" w:color="auto" w:frame="1"/>
          <w:lang w:val="en"/>
        </w:rPr>
        <w:t xml:space="preserve"> </w:t>
      </w:r>
    </w:p>
    <w:p w14:paraId="1C41EB8C" w14:textId="77777777" w:rsidR="008A37EC" w:rsidRPr="008A37EC" w:rsidRDefault="008A37EC" w:rsidP="00402D02">
      <w:pPr>
        <w:pStyle w:val="SGBodytext"/>
      </w:pPr>
      <w:r w:rsidRPr="008A37EC">
        <w:t>Includes a ‘toolbox’ of resources to help policy-makers to implement the Bangkok Rules</w:t>
      </w:r>
    </w:p>
    <w:p w14:paraId="27F60A0A" w14:textId="77777777" w:rsidR="008A37EC" w:rsidRPr="008A37EC" w:rsidRDefault="008A37EC" w:rsidP="00402D02">
      <w:pPr>
        <w:pStyle w:val="SGBodytext"/>
      </w:pPr>
      <w:r w:rsidRPr="008A37EC">
        <w:t>Prison Reform Trust</w:t>
      </w:r>
    </w:p>
    <w:p w14:paraId="24EBF39B" w14:textId="77777777" w:rsidR="008A37EC" w:rsidRPr="008A37EC" w:rsidRDefault="00246821" w:rsidP="00402D02">
      <w:pPr>
        <w:pStyle w:val="SGBodytext"/>
      </w:pPr>
      <w:hyperlink r:id="rId21" w:history="1">
        <w:r w:rsidR="008A37EC" w:rsidRPr="008A37EC">
          <w:rPr>
            <w:color w:val="0000FF"/>
            <w:u w:val="single"/>
          </w:rPr>
          <w:t>http://www.prisonreformtrust.org.uk/ProjectsResearch/Women</w:t>
        </w:r>
      </w:hyperlink>
      <w:r w:rsidR="008A37EC" w:rsidRPr="008A37EC">
        <w:t xml:space="preserve"> </w:t>
      </w:r>
    </w:p>
    <w:p w14:paraId="0AED5036" w14:textId="77777777" w:rsidR="008A37EC" w:rsidRPr="008A37EC" w:rsidRDefault="008A37EC" w:rsidP="00402D02">
      <w:pPr>
        <w:pStyle w:val="SGBodytext"/>
      </w:pPr>
      <w:r w:rsidRPr="008A37EC">
        <w:t>Prison Research Centre</w:t>
      </w:r>
    </w:p>
    <w:p w14:paraId="4D2AE55C" w14:textId="77777777" w:rsidR="008A37EC" w:rsidRPr="008A37EC" w:rsidRDefault="00246821" w:rsidP="00402D02">
      <w:pPr>
        <w:pStyle w:val="SGBodytext"/>
      </w:pPr>
      <w:hyperlink r:id="rId22" w:history="1">
        <w:r w:rsidR="008A37EC" w:rsidRPr="008A37EC">
          <w:rPr>
            <w:color w:val="0000FF"/>
            <w:u w:val="single"/>
          </w:rPr>
          <w:t>http://www.crim.cam.ac.uk/research/prc/</w:t>
        </w:r>
      </w:hyperlink>
      <w:r w:rsidR="008A37EC" w:rsidRPr="008A37EC">
        <w:t xml:space="preserve"> </w:t>
      </w:r>
    </w:p>
    <w:p w14:paraId="01ADC7AD" w14:textId="77777777" w:rsidR="008A37EC" w:rsidRPr="008A37EC" w:rsidRDefault="008A37EC" w:rsidP="00402D02">
      <w:pPr>
        <w:pStyle w:val="SGBodytext"/>
      </w:pPr>
      <w:r w:rsidRPr="008A37EC">
        <w:t>Prison Service Journal (Centre for Crime and Justice Studies)</w:t>
      </w:r>
    </w:p>
    <w:p w14:paraId="02D1F5BE" w14:textId="77777777" w:rsidR="008A37EC" w:rsidRPr="008A37EC" w:rsidRDefault="00246821" w:rsidP="00402D02">
      <w:pPr>
        <w:pStyle w:val="SGBodytext"/>
      </w:pPr>
      <w:hyperlink r:id="rId23" w:history="1">
        <w:r w:rsidR="008A37EC" w:rsidRPr="008A37EC">
          <w:rPr>
            <w:color w:val="0000FF"/>
            <w:u w:val="single"/>
          </w:rPr>
          <w:t>http://www.crimeandjustice.org.uk/publications/psj</w:t>
        </w:r>
      </w:hyperlink>
      <w:r w:rsidR="008A37EC" w:rsidRPr="008A37EC">
        <w:t xml:space="preserve"> </w:t>
      </w:r>
    </w:p>
    <w:p w14:paraId="4BCD2EDA" w14:textId="77777777" w:rsidR="008A37EC" w:rsidRPr="008A37EC" w:rsidRDefault="008A37EC" w:rsidP="00402D02">
      <w:pPr>
        <w:pStyle w:val="SGBodytext"/>
      </w:pPr>
      <w:r w:rsidRPr="008A37EC">
        <w:t>Scottish Centre for Crime and Justice Research (SCCJR)</w:t>
      </w:r>
    </w:p>
    <w:p w14:paraId="198B2DD8" w14:textId="77777777" w:rsidR="008A37EC" w:rsidRPr="008A37EC" w:rsidRDefault="00246821" w:rsidP="00402D02">
      <w:pPr>
        <w:pStyle w:val="SGBodytext"/>
      </w:pPr>
      <w:hyperlink r:id="rId24" w:history="1">
        <w:r w:rsidR="008A37EC" w:rsidRPr="008A37EC">
          <w:rPr>
            <w:color w:val="0000FF"/>
            <w:u w:val="single"/>
          </w:rPr>
          <w:t>http://www.sccjr.ac.uk/</w:t>
        </w:r>
      </w:hyperlink>
      <w:r w:rsidR="008A37EC" w:rsidRPr="008A37EC">
        <w:t xml:space="preserve"> </w:t>
      </w:r>
    </w:p>
    <w:p w14:paraId="0B6A82B3" w14:textId="77777777" w:rsidR="008A37EC" w:rsidRPr="008A37EC" w:rsidRDefault="008A37EC" w:rsidP="00402D02">
      <w:pPr>
        <w:pStyle w:val="SGBodytext"/>
      </w:pPr>
      <w:r w:rsidRPr="008A37EC">
        <w:t>Women in the criminal justice system: key external resources - selection of recommended international resources on women prisoners and offenders</w:t>
      </w:r>
    </w:p>
    <w:p w14:paraId="1024CE98" w14:textId="77777777" w:rsidR="008A37EC" w:rsidRPr="008A37EC" w:rsidRDefault="00246821" w:rsidP="00402D02">
      <w:pPr>
        <w:pStyle w:val="SGBodytext"/>
      </w:pPr>
      <w:hyperlink r:id="rId25" w:history="1">
        <w:r w:rsidR="008A37EC" w:rsidRPr="008A37EC">
          <w:rPr>
            <w:color w:val="0000FF"/>
            <w:u w:val="single"/>
          </w:rPr>
          <w:t>http://www.penalreform.org/resource/women-criminal-justice-system-key-external-resources/</w:t>
        </w:r>
      </w:hyperlink>
      <w:r w:rsidR="008A37EC" w:rsidRPr="008A37EC">
        <w:t xml:space="preserve"> </w:t>
      </w:r>
    </w:p>
    <w:p w14:paraId="6F164E38" w14:textId="77777777" w:rsidR="008A37EC" w:rsidRPr="008A37EC" w:rsidRDefault="008A37EC" w:rsidP="00402D02">
      <w:pPr>
        <w:pStyle w:val="SGBodytext"/>
      </w:pPr>
    </w:p>
    <w:p w14:paraId="45C3B29B" w14:textId="77777777" w:rsidR="008A37EC" w:rsidRPr="008A37EC" w:rsidRDefault="008A37EC" w:rsidP="00BE6CDA">
      <w:pPr>
        <w:pStyle w:val="Heading2blue"/>
      </w:pPr>
      <w:bookmarkStart w:id="64" w:name="_Toc429555834"/>
      <w:r w:rsidRPr="008A37EC">
        <w:lastRenderedPageBreak/>
        <w:t>Statistical resources</w:t>
      </w:r>
      <w:bookmarkEnd w:id="64"/>
    </w:p>
    <w:p w14:paraId="7FA7AC50" w14:textId="77777777" w:rsidR="008A37EC" w:rsidRPr="008A37EC" w:rsidRDefault="008A37EC" w:rsidP="00402D02">
      <w:pPr>
        <w:pStyle w:val="SGBodytext"/>
      </w:pPr>
      <w:r w:rsidRPr="008A37EC">
        <w:t>ICPS International Prison Population Lists</w:t>
      </w:r>
    </w:p>
    <w:p w14:paraId="5E8A6841" w14:textId="77777777" w:rsidR="008A37EC" w:rsidRPr="008A37EC" w:rsidRDefault="00246821" w:rsidP="00402D02">
      <w:pPr>
        <w:pStyle w:val="SGBodytext"/>
        <w:rPr>
          <w:color w:val="0000FF"/>
          <w:u w:val="single"/>
        </w:rPr>
      </w:pPr>
      <w:hyperlink r:id="rId26" w:history="1">
        <w:r w:rsidR="008A37EC" w:rsidRPr="008A37EC">
          <w:rPr>
            <w:color w:val="0000FF"/>
            <w:u w:val="single"/>
          </w:rPr>
          <w:t>http://www.prisonstudies.org/research-publications?shs_term_node_tid_depth=27</w:t>
        </w:r>
      </w:hyperlink>
    </w:p>
    <w:p w14:paraId="7ECE74BA" w14:textId="77777777" w:rsidR="008A37EC" w:rsidRPr="008A37EC" w:rsidRDefault="008A37EC" w:rsidP="00402D02">
      <w:pPr>
        <w:pStyle w:val="SGBodytext"/>
      </w:pPr>
      <w:r w:rsidRPr="008A37EC">
        <w:t>Scottish Government Criminal Proceedings Data</w:t>
      </w:r>
    </w:p>
    <w:p w14:paraId="51611215" w14:textId="77777777" w:rsidR="008A37EC" w:rsidRPr="008A37EC" w:rsidRDefault="00246821" w:rsidP="00402D02">
      <w:pPr>
        <w:pStyle w:val="SGBodytext"/>
      </w:pPr>
      <w:hyperlink r:id="rId27" w:history="1">
        <w:r w:rsidR="008A37EC" w:rsidRPr="008A37EC">
          <w:rPr>
            <w:color w:val="0000FF"/>
            <w:u w:val="single"/>
          </w:rPr>
          <w:t>http://www.gov.scot/Topics/Statistics/Browse/Crime-Justice/Datasets/DatasetsCrimProc</w:t>
        </w:r>
      </w:hyperlink>
      <w:r w:rsidR="008A37EC" w:rsidRPr="008A37EC">
        <w:t xml:space="preserve"> </w:t>
      </w:r>
    </w:p>
    <w:p w14:paraId="13FF9C0E" w14:textId="77777777" w:rsidR="008A37EC" w:rsidRPr="008A37EC" w:rsidRDefault="008A37EC" w:rsidP="00402D02">
      <w:pPr>
        <w:pStyle w:val="SGBodytext"/>
      </w:pPr>
      <w:r w:rsidRPr="008A37EC">
        <w:t>Scottish Government Prison Population Statistics</w:t>
      </w:r>
    </w:p>
    <w:p w14:paraId="50127231" w14:textId="77777777" w:rsidR="008A37EC" w:rsidRDefault="00246821" w:rsidP="00402D02">
      <w:pPr>
        <w:pStyle w:val="SGBodytext"/>
      </w:pPr>
      <w:hyperlink r:id="rId28" w:history="1">
        <w:r w:rsidR="008A37EC" w:rsidRPr="008A37EC">
          <w:rPr>
            <w:color w:val="0000FF"/>
            <w:u w:val="single"/>
          </w:rPr>
          <w:t>http://www.gov.scot/Topics/Statistics/Browse/Crime-Justice/Datasets/PrisonsDatasets</w:t>
        </w:r>
      </w:hyperlink>
      <w:r w:rsidR="008A37EC" w:rsidRPr="008A37EC">
        <w:t xml:space="preserve"> </w:t>
      </w:r>
    </w:p>
    <w:p w14:paraId="6EB3A8F9" w14:textId="77777777" w:rsidR="00160976" w:rsidRDefault="00160976" w:rsidP="00402D02">
      <w:pPr>
        <w:pStyle w:val="SGBodytext"/>
      </w:pPr>
      <w:r>
        <w:t xml:space="preserve">Scottish Prison Service (SPS) Prison Population Statistics </w:t>
      </w:r>
    </w:p>
    <w:p w14:paraId="7D665D3A" w14:textId="77777777" w:rsidR="00160976" w:rsidRPr="008A37EC" w:rsidRDefault="00246821" w:rsidP="00402D02">
      <w:pPr>
        <w:pStyle w:val="SGBodytext"/>
      </w:pPr>
      <w:hyperlink r:id="rId29" w:history="1">
        <w:r w:rsidR="00160976" w:rsidRPr="004025DB">
          <w:rPr>
            <w:rStyle w:val="Hyperlink"/>
          </w:rPr>
          <w:t>http://www.sps.gov.uk/Corporate/Information/SPSPopulation.aspx</w:t>
        </w:r>
      </w:hyperlink>
      <w:r w:rsidR="00160976">
        <w:t xml:space="preserve"> </w:t>
      </w:r>
    </w:p>
    <w:p w14:paraId="5B13752D" w14:textId="77777777" w:rsidR="008A37EC" w:rsidRPr="008A37EC" w:rsidRDefault="008A37EC" w:rsidP="00402D02">
      <w:pPr>
        <w:pStyle w:val="SGBodytext"/>
      </w:pPr>
      <w:r w:rsidRPr="008A37EC">
        <w:t xml:space="preserve">Scottish Prison Service (SPS) Prison Survey 2013 Female Offenders  </w:t>
      </w:r>
    </w:p>
    <w:p w14:paraId="148329F9" w14:textId="77777777" w:rsidR="008A37EC" w:rsidRPr="008A37EC" w:rsidRDefault="00246821" w:rsidP="00402D02">
      <w:pPr>
        <w:pStyle w:val="SGBodytext"/>
      </w:pPr>
      <w:hyperlink r:id="rId30" w:history="1">
        <w:r w:rsidR="008A37EC" w:rsidRPr="008A37EC">
          <w:rPr>
            <w:color w:val="0000FF"/>
            <w:u w:val="single"/>
          </w:rPr>
          <w:t>http://www.sps.gov.uk/Corporate/Publications/PrisonerSurvey2013FemaleOffenders.aspx</w:t>
        </w:r>
      </w:hyperlink>
      <w:r w:rsidR="008A37EC" w:rsidRPr="008A37EC">
        <w:t xml:space="preserve"> </w:t>
      </w:r>
    </w:p>
    <w:p w14:paraId="06EDFB25" w14:textId="77777777" w:rsidR="008A37EC" w:rsidRPr="008A37EC" w:rsidRDefault="00BE6CDA" w:rsidP="00BE6CDA">
      <w:pPr>
        <w:pStyle w:val="Heading2blue"/>
      </w:pPr>
      <w:bookmarkStart w:id="65" w:name="_Toc429555835"/>
      <w:r>
        <w:t xml:space="preserve">Other reports/projects </w:t>
      </w:r>
      <w:r w:rsidR="008A37EC" w:rsidRPr="008A37EC">
        <w:t>of interest</w:t>
      </w:r>
      <w:bookmarkEnd w:id="65"/>
    </w:p>
    <w:p w14:paraId="72C86B11" w14:textId="77777777" w:rsidR="00300776" w:rsidRPr="00EB29FB" w:rsidRDefault="00300776" w:rsidP="00402D02">
      <w:pPr>
        <w:pStyle w:val="SGBodytext"/>
      </w:pPr>
      <w:r w:rsidRPr="00EB29FB">
        <w:t>ESRC-funded University of Strathclyde study (Barry et al) entitled ‘Regulating Justice: The dynamics of compliance and breach in criminal justice social work in Scotland’ which is due to complete May 2015</w:t>
      </w:r>
      <w:r w:rsidRPr="00163E7C">
        <w:t xml:space="preserve"> </w:t>
      </w:r>
    </w:p>
    <w:p w14:paraId="0DC066F6" w14:textId="71B5DBB9" w:rsidR="00300776" w:rsidRPr="00402D02" w:rsidRDefault="00246821" w:rsidP="00402D02">
      <w:pPr>
        <w:pStyle w:val="SGBodytext"/>
      </w:pPr>
      <w:hyperlink r:id="rId31" w:history="1">
        <w:r w:rsidR="00300776" w:rsidRPr="00402D02">
          <w:rPr>
            <w:rStyle w:val="Hyperlink"/>
          </w:rPr>
          <w:t>https://pure.strath.ac.uk/portal/en/projects/regulating-justice-the-dynamics-of-compliance-and-breach-in-criminal-justice-social-work-in-scotland%28e32e75bf-359b-4748-9984-1b389f7cc2d4%29.html</w:t>
        </w:r>
      </w:hyperlink>
      <w:r w:rsidR="00300776" w:rsidRPr="00402D02">
        <w:rPr>
          <w:rStyle w:val="Hyperlink"/>
        </w:rPr>
        <w:t xml:space="preserve"> </w:t>
      </w:r>
    </w:p>
    <w:p w14:paraId="293AA18B" w14:textId="77777777" w:rsidR="00300776" w:rsidRDefault="00300776" w:rsidP="00402D02">
      <w:pPr>
        <w:pStyle w:val="SGBodytext"/>
      </w:pPr>
      <w:r>
        <w:t xml:space="preserve">See also Centre for Law Crime and Justice </w:t>
      </w:r>
      <w:r w:rsidRPr="00D17C56">
        <w:t xml:space="preserve"> </w:t>
      </w:r>
      <w:r>
        <w:t xml:space="preserve">- Research into the Dynamics of Compliance within a Criminal Justice Context. </w:t>
      </w:r>
      <w:hyperlink r:id="rId32" w:history="1">
        <w:r w:rsidRPr="00E73805">
          <w:rPr>
            <w:rStyle w:val="Hyperlink"/>
            <w:szCs w:val="22"/>
          </w:rPr>
          <w:t>http://www.strath.ac.uk/clcj/events/</w:t>
        </w:r>
      </w:hyperlink>
    </w:p>
    <w:p w14:paraId="4954117C" w14:textId="77777777" w:rsidR="008A37EC" w:rsidRPr="008A37EC" w:rsidRDefault="008A37EC" w:rsidP="00402D02">
      <w:pPr>
        <w:pStyle w:val="SGBodytext"/>
      </w:pPr>
      <w:r w:rsidRPr="008A37EC">
        <w:t>Deady, C. (2014) Incarceration and Recidivism: Lessons from abroad.</w:t>
      </w:r>
    </w:p>
    <w:p w14:paraId="392FA088" w14:textId="77777777" w:rsidR="008A37EC" w:rsidRPr="008A37EC" w:rsidRDefault="00246821" w:rsidP="00402D02">
      <w:pPr>
        <w:pStyle w:val="SGBodytext"/>
      </w:pPr>
      <w:hyperlink r:id="rId33" w:history="1">
        <w:r w:rsidR="008A37EC" w:rsidRPr="008A37EC">
          <w:rPr>
            <w:color w:val="0000FF"/>
            <w:u w:val="single"/>
          </w:rPr>
          <w:t>https://www.salve.edu/sites/default/files/filesfield/documents/Incarceration_and_Recidivism.pdf</w:t>
        </w:r>
      </w:hyperlink>
      <w:r w:rsidR="008A37EC" w:rsidRPr="008A37EC">
        <w:t xml:space="preserve"> </w:t>
      </w:r>
    </w:p>
    <w:p w14:paraId="732E5D1E" w14:textId="77777777" w:rsidR="008A37EC" w:rsidRPr="008A37EC" w:rsidRDefault="008A37EC" w:rsidP="00402D02">
      <w:pPr>
        <w:pStyle w:val="SGBodytext"/>
      </w:pPr>
      <w:r w:rsidRPr="008A37EC">
        <w:t>Interesting paper on recidivism (from an American perspective) – not women specific but discusses the Nordic approach and why recidivism is so low there.</w:t>
      </w:r>
    </w:p>
    <w:p w14:paraId="54B72E53" w14:textId="77777777" w:rsidR="008A37EC" w:rsidRPr="008A37EC" w:rsidRDefault="008A37EC" w:rsidP="00402D02">
      <w:pPr>
        <w:pStyle w:val="SGBodytext"/>
      </w:pPr>
      <w:r w:rsidRPr="008A37EC">
        <w:t>NOMS (2013) UK Female Prison Estate Review (2013)</w:t>
      </w:r>
    </w:p>
    <w:p w14:paraId="12790BAF" w14:textId="77777777" w:rsidR="008A37EC" w:rsidRPr="008A37EC" w:rsidRDefault="00246821" w:rsidP="00402D02">
      <w:pPr>
        <w:pStyle w:val="SGBodytext"/>
      </w:pPr>
      <w:hyperlink r:id="rId34" w:history="1">
        <w:r w:rsidR="008A37EC" w:rsidRPr="008A37EC">
          <w:rPr>
            <w:color w:val="0000FF"/>
            <w:u w:val="single"/>
          </w:rPr>
          <w:t>https://www.gov.uk/government/uploads/system/uploads/attachment_data/file/252851/womens-custodial-estate-review.pdf</w:t>
        </w:r>
      </w:hyperlink>
      <w:r w:rsidR="008A37EC" w:rsidRPr="008A37EC">
        <w:t xml:space="preserve"> </w:t>
      </w:r>
    </w:p>
    <w:p w14:paraId="48C1F0C5" w14:textId="77777777" w:rsidR="008A37EC" w:rsidRPr="008A37EC" w:rsidRDefault="008A37EC" w:rsidP="00402D02">
      <w:pPr>
        <w:pStyle w:val="SGBodytext"/>
      </w:pPr>
      <w:r w:rsidRPr="008A37EC">
        <w:t>Prisons of the Future Project</w:t>
      </w:r>
    </w:p>
    <w:p w14:paraId="533E983F" w14:textId="77777777" w:rsidR="008A37EC" w:rsidRPr="008A37EC" w:rsidRDefault="00246821" w:rsidP="00402D02">
      <w:pPr>
        <w:pStyle w:val="SGBodytext"/>
      </w:pPr>
      <w:hyperlink r:id="rId35" w:history="1">
        <w:r w:rsidR="008A37EC" w:rsidRPr="008A37EC">
          <w:rPr>
            <w:color w:val="0000FF"/>
            <w:u w:val="single"/>
          </w:rPr>
          <w:t>http://www.europris.org/projects/prisons-of-the-future/</w:t>
        </w:r>
      </w:hyperlink>
      <w:r w:rsidR="008A37EC" w:rsidRPr="008A37EC">
        <w:t xml:space="preserve"> </w:t>
      </w:r>
    </w:p>
    <w:p w14:paraId="23638B32" w14:textId="77777777" w:rsidR="008A37EC" w:rsidRPr="008A37EC" w:rsidRDefault="008A37EC" w:rsidP="00402D02">
      <w:pPr>
        <w:pStyle w:val="SGBodytext"/>
      </w:pPr>
      <w:r w:rsidRPr="008A37EC">
        <w:lastRenderedPageBreak/>
        <w:t>European project which will be searching and researching alternatives to regular imprisonment and advise on innovative solutions for future implementation (2014-2016)</w:t>
      </w:r>
    </w:p>
    <w:p w14:paraId="3CDFBCA1" w14:textId="77777777" w:rsidR="008A37EC" w:rsidRPr="008A37EC" w:rsidRDefault="008A37EC" w:rsidP="00402D02">
      <w:pPr>
        <w:pStyle w:val="SGBodytext"/>
      </w:pPr>
      <w:r w:rsidRPr="008A37EC">
        <w:t>British Academy (2014) A Presumption Against Imprisonment: Social Order and Social Values</w:t>
      </w:r>
    </w:p>
    <w:p w14:paraId="6E54408E" w14:textId="77777777" w:rsidR="008A37EC" w:rsidRPr="008A37EC" w:rsidRDefault="00246821" w:rsidP="00402D02">
      <w:pPr>
        <w:pStyle w:val="SGBodytext"/>
      </w:pPr>
      <w:hyperlink r:id="rId36" w:history="1">
        <w:r w:rsidR="008A37EC" w:rsidRPr="008A37EC">
          <w:rPr>
            <w:color w:val="0000FF"/>
            <w:u w:val="single"/>
          </w:rPr>
          <w:t>http://www.britac.ac.uk/policy/Presumption_Against_Imprisonment.cfm</w:t>
        </w:r>
      </w:hyperlink>
      <w:r w:rsidR="008A37EC" w:rsidRPr="008A37EC">
        <w:t xml:space="preserve"> </w:t>
      </w:r>
    </w:p>
    <w:p w14:paraId="313D8026" w14:textId="77777777" w:rsidR="008A37EC" w:rsidRPr="008A37EC" w:rsidRDefault="008A37EC" w:rsidP="00402D02">
      <w:pPr>
        <w:pStyle w:val="SGBodytext"/>
      </w:pPr>
      <w:r w:rsidRPr="008A37EC">
        <w:t>The study explores the reasons behind the high prison population in the UK, as well as offering contributions to the ongoing debate about why and how we should try to reduce both the number of people we imprison, and the length of time for which many are imprisoned</w:t>
      </w:r>
      <w:r w:rsidR="00163E7C">
        <w:t>.</w:t>
      </w:r>
    </w:p>
    <w:p w14:paraId="1F69EF53" w14:textId="77777777" w:rsidR="008A37EC" w:rsidRPr="008A37EC" w:rsidRDefault="008A37EC" w:rsidP="00402D02">
      <w:pPr>
        <w:pStyle w:val="SGBodytext"/>
      </w:pPr>
      <w:r w:rsidRPr="008A37EC">
        <w:t>PRI (2014) The use and practice of imprisonment: current trends and future challenges.</w:t>
      </w:r>
    </w:p>
    <w:p w14:paraId="3E0EFB80" w14:textId="77777777" w:rsidR="008A37EC" w:rsidRPr="008A37EC" w:rsidRDefault="00246821" w:rsidP="00402D02">
      <w:pPr>
        <w:pStyle w:val="SGBodytext"/>
      </w:pPr>
      <w:hyperlink r:id="rId37" w:history="1">
        <w:r w:rsidR="008A37EC" w:rsidRPr="008A37EC">
          <w:rPr>
            <w:color w:val="0000FF"/>
            <w:u w:val="single"/>
          </w:rPr>
          <w:t>http://www.penalreform.org/wp-content/uploads/2013/04/Trends-Paper-An-Update-May-2014-Final.pdf</w:t>
        </w:r>
      </w:hyperlink>
      <w:r w:rsidR="008A37EC" w:rsidRPr="008A37EC">
        <w:t xml:space="preserve"> </w:t>
      </w:r>
    </w:p>
    <w:p w14:paraId="5FD327C1" w14:textId="77777777" w:rsidR="008A37EC" w:rsidRPr="008A37EC" w:rsidRDefault="008A37EC" w:rsidP="00402D02">
      <w:pPr>
        <w:pStyle w:val="SGBodytext"/>
        <w:rPr>
          <w:color w:val="333333"/>
        </w:rPr>
      </w:pPr>
      <w:r w:rsidRPr="008A37EC">
        <w:t>Women in Prison (2012) Report on the Roundtable on Small Custodial Units, 15</w:t>
      </w:r>
      <w:r w:rsidRPr="008A37EC">
        <w:rPr>
          <w:vertAlign w:val="superscript"/>
        </w:rPr>
        <w:t>th</w:t>
      </w:r>
      <w:r w:rsidRPr="008A37EC">
        <w:t xml:space="preserve"> May 2012</w:t>
      </w:r>
    </w:p>
    <w:p w14:paraId="42A8F12D" w14:textId="77777777" w:rsidR="008A37EC" w:rsidRPr="008A37EC" w:rsidRDefault="00246821" w:rsidP="00402D02">
      <w:pPr>
        <w:pStyle w:val="SGBodytext"/>
        <w:rPr>
          <w:i/>
        </w:rPr>
      </w:pPr>
      <w:hyperlink r:id="rId38" w:history="1">
        <w:r w:rsidR="008A37EC" w:rsidRPr="008A37EC">
          <w:rPr>
            <w:color w:val="0000FF"/>
            <w:u w:val="single"/>
          </w:rPr>
          <w:t>http://www.amimb.org.uk/documents/SmallCustodialUnitsReport-finalversion.pdf</w:t>
        </w:r>
      </w:hyperlink>
      <w:r w:rsidR="008A37EC" w:rsidRPr="008A37EC">
        <w:t xml:space="preserve"> </w:t>
      </w:r>
      <w:r w:rsidR="008A37EC" w:rsidRPr="008A37EC">
        <w:rPr>
          <w:i/>
        </w:rPr>
        <w:t xml:space="preserve"> </w:t>
      </w:r>
    </w:p>
    <w:p w14:paraId="663931EC" w14:textId="77777777" w:rsidR="008A37EC" w:rsidRPr="008A37EC" w:rsidRDefault="008A37EC" w:rsidP="008A37EC">
      <w:pPr>
        <w:jc w:val="both"/>
        <w:rPr>
          <w:rFonts w:eastAsia="Times New Roman" w:cs="Arial"/>
          <w:sz w:val="24"/>
          <w:szCs w:val="24"/>
        </w:rPr>
      </w:pPr>
    </w:p>
    <w:p w14:paraId="3B3D1E20" w14:textId="77777777" w:rsidR="008A37EC" w:rsidRDefault="008A37EC">
      <w:pPr>
        <w:tabs>
          <w:tab w:val="clear" w:pos="720"/>
          <w:tab w:val="clear" w:pos="1440"/>
          <w:tab w:val="clear" w:pos="2160"/>
          <w:tab w:val="clear" w:pos="2880"/>
          <w:tab w:val="clear" w:pos="4680"/>
          <w:tab w:val="clear" w:pos="5400"/>
          <w:tab w:val="clear" w:pos="9000"/>
        </w:tabs>
        <w:spacing w:line="240" w:lineRule="auto"/>
      </w:pPr>
      <w:r>
        <w:br w:type="page"/>
      </w:r>
    </w:p>
    <w:p w14:paraId="32B980FA" w14:textId="77777777" w:rsidR="00162262" w:rsidRDefault="00162262" w:rsidP="00BE6CDA">
      <w:pPr>
        <w:tabs>
          <w:tab w:val="clear" w:pos="720"/>
          <w:tab w:val="clear" w:pos="1440"/>
          <w:tab w:val="clear" w:pos="2160"/>
          <w:tab w:val="clear" w:pos="2880"/>
          <w:tab w:val="clear" w:pos="4680"/>
          <w:tab w:val="clear" w:pos="5400"/>
          <w:tab w:val="clear" w:pos="9000"/>
        </w:tabs>
        <w:spacing w:line="240" w:lineRule="auto"/>
        <w:rPr>
          <w:b/>
        </w:rPr>
      </w:pPr>
      <w:r w:rsidRPr="00236786">
        <w:rPr>
          <w:b/>
        </w:rPr>
        <w:lastRenderedPageBreak/>
        <w:t>How to access background or source data</w:t>
      </w:r>
    </w:p>
    <w:p w14:paraId="1195B803" w14:textId="77777777" w:rsidR="00162262" w:rsidRDefault="00162262" w:rsidP="00162262">
      <w:pPr>
        <w:pBdr>
          <w:top w:val="single" w:sz="4" w:space="1" w:color="auto"/>
          <w:left w:val="single" w:sz="4" w:space="4" w:color="auto"/>
          <w:bottom w:val="single" w:sz="4" w:space="0" w:color="auto"/>
          <w:right w:val="single" w:sz="4" w:space="4" w:color="auto"/>
        </w:pBdr>
      </w:pPr>
    </w:p>
    <w:p w14:paraId="37C0FF9E" w14:textId="77777777" w:rsidR="00162262" w:rsidRDefault="003303B3" w:rsidP="00162262">
      <w:pPr>
        <w:pBdr>
          <w:top w:val="single" w:sz="4" w:space="1" w:color="auto"/>
          <w:left w:val="single" w:sz="4" w:space="4" w:color="auto"/>
          <w:bottom w:val="single" w:sz="4" w:space="0" w:color="auto"/>
          <w:right w:val="single" w:sz="4" w:space="4" w:color="auto"/>
        </w:pBdr>
      </w:pPr>
      <w:r>
        <w:t>The data collected for this</w:t>
      </w:r>
      <w:r w:rsidR="00162262">
        <w:t xml:space="preserve"> social research publication</w:t>
      </w:r>
      <w:r w:rsidR="00162262">
        <w:rPr>
          <w:rStyle w:val="PlaceholderText"/>
        </w:rPr>
        <w:t>:</w:t>
      </w:r>
    </w:p>
    <w:p w14:paraId="021B108B" w14:textId="77777777" w:rsidR="00162262" w:rsidRDefault="00246821" w:rsidP="00162262">
      <w:pPr>
        <w:pBdr>
          <w:top w:val="single" w:sz="4" w:space="1" w:color="auto"/>
          <w:left w:val="single" w:sz="4" w:space="4" w:color="auto"/>
          <w:bottom w:val="single" w:sz="4" w:space="0" w:color="auto"/>
          <w:right w:val="single" w:sz="4" w:space="4" w:color="auto"/>
        </w:pBdr>
        <w:spacing w:after="120"/>
      </w:pPr>
      <w:sdt>
        <w:sdtPr>
          <w:id w:val="489298282"/>
          <w14:checkbox>
            <w14:checked w14:val="0"/>
            <w14:checkedState w14:val="2612" w14:font="MS Mincho"/>
            <w14:uncheckedState w14:val="2610" w14:font="MS Mincho"/>
          </w14:checkbox>
        </w:sdtPr>
        <w:sdtEndPr/>
        <w:sdtContent>
          <w:r w:rsidR="00162262">
            <w:rPr>
              <w:rFonts w:ascii="MS Gothic" w:eastAsia="MS Gothic" w:hAnsi="MS Gothic" w:hint="eastAsia"/>
            </w:rPr>
            <w:t>☐</w:t>
          </w:r>
        </w:sdtContent>
      </w:sdt>
      <w:r w:rsidR="00162262">
        <w:t xml:space="preserve"> </w:t>
      </w:r>
      <w:proofErr w:type="gramStart"/>
      <w:r w:rsidR="00162262">
        <w:t>are</w:t>
      </w:r>
      <w:proofErr w:type="gramEnd"/>
      <w:r w:rsidR="00162262">
        <w:t xml:space="preserve"> available in more detail through Scottish Neighbourhood Statistics     </w:t>
      </w:r>
    </w:p>
    <w:p w14:paraId="63564430" w14:textId="77777777" w:rsidR="00162262" w:rsidRDefault="00246821" w:rsidP="00162262">
      <w:pPr>
        <w:pBdr>
          <w:top w:val="single" w:sz="4" w:space="1" w:color="auto"/>
          <w:left w:val="single" w:sz="4" w:space="4" w:color="auto"/>
          <w:bottom w:val="single" w:sz="4" w:space="0" w:color="auto"/>
          <w:right w:val="single" w:sz="4" w:space="4" w:color="auto"/>
        </w:pBdr>
        <w:spacing w:after="120"/>
      </w:pPr>
      <w:sdt>
        <w:sdtPr>
          <w:id w:val="-1500194289"/>
          <w14:checkbox>
            <w14:checked w14:val="1"/>
            <w14:checkedState w14:val="2612" w14:font="MS Mincho"/>
            <w14:uncheckedState w14:val="2610" w14:font="MS Mincho"/>
          </w14:checkbox>
        </w:sdtPr>
        <w:sdtEndPr/>
        <w:sdtContent>
          <w:r w:rsidR="003303B3">
            <w:rPr>
              <w:rFonts w:ascii="MS Gothic" w:eastAsia="MS Gothic" w:hAnsi="MS Gothic" w:hint="eastAsia"/>
            </w:rPr>
            <w:t>☒</w:t>
          </w:r>
        </w:sdtContent>
      </w:sdt>
      <w:r w:rsidR="00162262">
        <w:t xml:space="preserve"> </w:t>
      </w:r>
      <w:proofErr w:type="gramStart"/>
      <w:r w:rsidR="00162262">
        <w:t>are</w:t>
      </w:r>
      <w:proofErr w:type="gramEnd"/>
      <w:r w:rsidR="00162262">
        <w:t xml:space="preserve"> available via an alternative route </w:t>
      </w:r>
      <w:r w:rsidR="003303B3">
        <w:t xml:space="preserve">– please refer to the </w:t>
      </w:r>
      <w:r w:rsidR="003303B3" w:rsidRPr="003303B3">
        <w:rPr>
          <w:i/>
        </w:rPr>
        <w:t>Further Resources</w:t>
      </w:r>
      <w:r w:rsidR="003303B3">
        <w:t xml:space="preserve"> and </w:t>
      </w:r>
      <w:r w:rsidR="003303B3" w:rsidRPr="003303B3">
        <w:rPr>
          <w:i/>
        </w:rPr>
        <w:t>References</w:t>
      </w:r>
      <w:r w:rsidR="003303B3">
        <w:t xml:space="preserve"> sections of this report. Further information may be obtained from </w:t>
      </w:r>
      <w:hyperlink r:id="rId39" w:history="1">
        <w:r w:rsidR="003303B3" w:rsidRPr="004025DB">
          <w:rPr>
            <w:rStyle w:val="Hyperlink"/>
          </w:rPr>
          <w:t>tamsyn.wilson@scotland.gsi.gov.uk</w:t>
        </w:r>
      </w:hyperlink>
      <w:r w:rsidR="003303B3">
        <w:t>.</w:t>
      </w:r>
    </w:p>
    <w:p w14:paraId="7F82DF45" w14:textId="77777777" w:rsidR="00162262" w:rsidRDefault="00246821" w:rsidP="00162262">
      <w:pPr>
        <w:pBdr>
          <w:top w:val="single" w:sz="4" w:space="1" w:color="auto"/>
          <w:left w:val="single" w:sz="4" w:space="4" w:color="auto"/>
          <w:bottom w:val="single" w:sz="4" w:space="0" w:color="auto"/>
          <w:right w:val="single" w:sz="4" w:space="4" w:color="auto"/>
        </w:pBdr>
        <w:spacing w:after="120"/>
      </w:pPr>
      <w:sdt>
        <w:sdtPr>
          <w:rPr>
            <w:rFonts w:ascii="MS Gothic" w:eastAsia="MS Gothic" w:hAnsi="MS Gothic" w:hint="eastAsia"/>
          </w:rPr>
          <w:id w:val="1143385958"/>
          <w14:checkbox>
            <w14:checked w14:val="0"/>
            <w14:checkedState w14:val="2612" w14:font="MS Mincho"/>
            <w14:uncheckedState w14:val="2610" w14:font="MS Mincho"/>
          </w14:checkbox>
        </w:sdtPr>
        <w:sdtEndPr/>
        <w:sdtContent>
          <w:r w:rsidR="003303B3">
            <w:rPr>
              <w:rFonts w:ascii="MS Gothic" w:eastAsia="MS Gothic" w:hAnsi="MS Gothic" w:hint="eastAsia"/>
            </w:rPr>
            <w:t>☐</w:t>
          </w:r>
        </w:sdtContent>
      </w:sdt>
      <w:r w:rsidR="00162262">
        <w:t xml:space="preserve"> </w:t>
      </w:r>
      <w:proofErr w:type="gramStart"/>
      <w:r w:rsidR="00162262">
        <w:t>may</w:t>
      </w:r>
      <w:proofErr w:type="gramEnd"/>
      <w:r w:rsidR="00162262">
        <w:t xml:space="preserve"> be made available on request, subject to consideration of legal and ethical factors. Please contact &lt;email address&gt; for further information. </w:t>
      </w:r>
    </w:p>
    <w:p w14:paraId="5ABC583F" w14:textId="77777777" w:rsidR="00162262" w:rsidRDefault="00246821" w:rsidP="00162262">
      <w:pPr>
        <w:pBdr>
          <w:top w:val="single" w:sz="4" w:space="1" w:color="auto"/>
          <w:left w:val="single" w:sz="4" w:space="4" w:color="auto"/>
          <w:bottom w:val="single" w:sz="4" w:space="0" w:color="auto"/>
          <w:right w:val="single" w:sz="4" w:space="4" w:color="auto"/>
        </w:pBdr>
        <w:spacing w:after="120"/>
      </w:pPr>
      <w:sdt>
        <w:sdtPr>
          <w:rPr>
            <w:rFonts w:ascii="MS Gothic" w:eastAsia="MS Gothic" w:hAnsi="MS Gothic" w:hint="eastAsia"/>
          </w:rPr>
          <w:id w:val="1893065724"/>
          <w14:checkbox>
            <w14:checked w14:val="0"/>
            <w14:checkedState w14:val="2612" w14:font="MS Mincho"/>
            <w14:uncheckedState w14:val="2610" w14:font="MS Mincho"/>
          </w14:checkbox>
        </w:sdtPr>
        <w:sdtEndPr/>
        <w:sdtContent>
          <w:r w:rsidR="00162262">
            <w:rPr>
              <w:rFonts w:ascii="MS Gothic" w:eastAsia="MS Gothic" w:hAnsi="MS Gothic" w:hint="eastAsia"/>
            </w:rPr>
            <w:t>☐</w:t>
          </w:r>
        </w:sdtContent>
      </w:sdt>
      <w:r w:rsidR="00162262">
        <w:t xml:space="preserve"> </w:t>
      </w:r>
      <w:proofErr w:type="gramStart"/>
      <w:r w:rsidR="00162262">
        <w:t>cannot</w:t>
      </w:r>
      <w:proofErr w:type="gramEnd"/>
      <w:r w:rsidR="00162262">
        <w:t xml:space="preserve"> be made available by Scottish Government for further analysis as Scottish Government is not the data controller.     </w:t>
      </w:r>
    </w:p>
    <w:p w14:paraId="06923E3C" w14:textId="77777777" w:rsidR="00BE6CDA" w:rsidRDefault="00BE6CDA">
      <w:pPr>
        <w:tabs>
          <w:tab w:val="clear" w:pos="720"/>
          <w:tab w:val="clear" w:pos="1440"/>
          <w:tab w:val="clear" w:pos="2160"/>
          <w:tab w:val="clear" w:pos="2880"/>
          <w:tab w:val="clear" w:pos="4680"/>
          <w:tab w:val="clear" w:pos="5400"/>
          <w:tab w:val="clear" w:pos="9000"/>
        </w:tabs>
        <w:spacing w:line="240" w:lineRule="auto"/>
        <w:rPr>
          <w:rFonts w:eastAsia="Times New Roman" w:cs="Arial"/>
          <w:noProof/>
          <w:sz w:val="24"/>
          <w:szCs w:val="24"/>
          <w:lang w:eastAsia="en-GB"/>
        </w:rPr>
      </w:pPr>
      <w:r>
        <w:br w:type="page"/>
      </w:r>
    </w:p>
    <w:p w14:paraId="336A3301" w14:textId="77777777" w:rsidR="00D468CA" w:rsidRDefault="00DF1A32" w:rsidP="00BE6CDA">
      <w:pPr>
        <w:pStyle w:val="Heading1blue"/>
      </w:pPr>
      <w:bookmarkStart w:id="66" w:name="_Toc429555836"/>
      <w:r>
        <w:lastRenderedPageBreak/>
        <w:t>References</w:t>
      </w:r>
      <w:bookmarkEnd w:id="66"/>
    </w:p>
    <w:p w14:paraId="0C33717A" w14:textId="77777777" w:rsidR="006A4CFE" w:rsidRDefault="007A7AE9" w:rsidP="00402D02">
      <w:pPr>
        <w:pStyle w:val="SGBodytext"/>
      </w:pPr>
      <w:r>
        <w:t xml:space="preserve">All URLs correct at July </w:t>
      </w:r>
      <w:r w:rsidR="006A4CFE">
        <w:t>2015.</w:t>
      </w:r>
    </w:p>
    <w:sectPr w:rsidR="006A4CFE" w:rsidSect="00943299">
      <w:footnotePr>
        <w:numFmt w:val="lowerRoman"/>
      </w:footnotePr>
      <w:endnotePr>
        <w:numFmt w:val="decimal"/>
      </w:endnotePr>
      <w:type w:val="continuous"/>
      <w:pgSz w:w="11900" w:h="16840" w:code="9"/>
      <w:pgMar w:top="1134" w:right="1134" w:bottom="851" w:left="1134" w:header="851" w:footer="851" w:gutter="0"/>
      <w:cols w:space="708"/>
      <w:docGrid w:linePitch="360"/>
    </w:sectPr>
  </w:body>
</w:document>
</file>

<file path=word/customizations.xml><?xml version="1.0" encoding="utf-8"?>
<wne:tcg xmlns:r="http://schemas.openxmlformats.org/officeDocument/2006/relationships" xmlns:wne="http://schemas.microsoft.com/office/word/2006/wordml">
  <wne:keymaps>
    <wne:keymap wne:kcmPrimary="0231">
      <wne:acd wne:acdName="acd0"/>
    </wne:keymap>
    <wne:keymap wne:kcmPrimary="0232">
      <wne:acd wne:acdName="acd2"/>
    </wne:keymap>
    <wne:keymap wne:kcmPrimary="0233">
      <wne:acd wne:acdName="acd4"/>
    </wne:keymap>
    <wne:keymap wne:kcmPrimary="0234">
      <wne:acd wne:acdName="acd6"/>
    </wne:keymap>
    <wne:keymap wne:kcmPrimary="0235">
      <wne:acd wne:acdName="acd14"/>
    </wne:keymap>
    <wne:keymap wne:kcmPrimary="0236">
      <wne:acd wne:acdName="acd15"/>
    </wne:keymap>
    <wne:keymap wne:kcmPrimary="0242">
      <wne:acd wne:acdName="acd13"/>
    </wne:keymap>
    <wne:keymap wne:kcmPrimary="0254">
      <wne:fci wne:fciName="Help" wne:swArg="0000"/>
    </wne:keymap>
    <wne:keymap wne:kcmPrimary="0270">
      <wne:acd wne:acdName="acd7"/>
    </wne:keymap>
    <wne:keymap wne:kcmPrimary="0271">
      <wne:acd wne:acdName="acd8"/>
    </wne:keymap>
    <wne:keymap wne:kcmPrimary="0272">
      <wne:acd wne:acdName="acd10"/>
    </wne:keymap>
    <wne:keymap wne:kcmPrimary="0273">
      <wne:acd wne:acdName="acd9"/>
    </wne:keymap>
    <wne:keymap wne:kcmPrimary="0274">
      <wne:acd wne:acdName="acd11"/>
    </wne:keymap>
    <wne:keymap wne:kcmPrimary="0275">
      <wne:acd wne:acdName="acd12"/>
    </wne:keymap>
    <wne:keymap wne:kcmPrimary="0331">
      <wne:acd wne:acdName="acd1"/>
    </wne:keymap>
    <wne:keymap wne:kcmPrimary="0332">
      <wne:acd wne:acdName="acd3"/>
    </wne:keymap>
    <wne:keymap wne:kcmPrimary="0333">
      <wne:acd wne:acdName="acd5"/>
    </wne:keymap>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Entry wne:acdName="acd10"/>
      <wne:acdEntry wne:acdName="acd11"/>
      <wne:acdEntry wne:acdName="acd12"/>
      <wne:acdEntry wne:acdName="acd13"/>
      <wne:acdEntry wne:acdName="acd14"/>
      <wne:acdEntry wne:acdName="acd15"/>
    </wne:acdManifest>
  </wne:toolbars>
  <wne:acds>
    <wne:acd wne:argValue="AQAAAAEA" wne:acdName="acd0" wne:fciIndexBasedOn="0065"/>
    <wne:acd wne:argValue="AgBIAGUAYQBkAGkAbgBnACAAMQAgAGIAbAB1AGUA" wne:acdName="acd1" wne:fciIndexBasedOn="0065"/>
    <wne:acd wne:argValue="AQAAAAIA" wne:acdName="acd2" wne:fciIndexBasedOn="0065"/>
    <wne:acd wne:argValue="AgBIAGUAYQBkAGkAbgBnACAAMgAgAGIAbAB1AGUA" wne:acdName="acd3" wne:fciIndexBasedOn="0065"/>
    <wne:acd wne:argValue="AQAAAAMA" wne:acdName="acd4" wne:fciIndexBasedOn="0065"/>
    <wne:acd wne:argValue="AgBIAGUAYQBkAGkAbgBnACAAMwAgAGIAbAB1AGUA" wne:acdName="acd5" wne:fciIndexBasedOn="0065"/>
    <wne:acd wne:argValue="AgBTAEcAIABHAHIAYQBwAGgALwBUAGEAYgBsAGUAIABUAGkAdABsAGUA" wne:acdName="acd6" wne:fciIndexBasedOn="0065"/>
    <wne:acd wne:argValue="AgBTAEcAIABCAG8AZAB5ACAAdABlAHgAdAA=" wne:acdName="acd7" wne:fciIndexBasedOn="0065"/>
    <wne:acd wne:argValue="AgBTAEcAIABCAG8AZAB5ACAASQBuAGQAZQBuAHQA" wne:acdName="acd8" wne:fciIndexBasedOn="0065"/>
    <wne:acd wne:argValue="AgBTAEcAIABOAHUAbQBiAGUAcgBlAGQA" wne:acdName="acd9" wne:fciIndexBasedOn="0065"/>
    <wne:acd wne:argValue="AgBTAEcAIABCAHUAbABsAGUAdAA=" wne:acdName="acd10" wne:fciIndexBasedOn="0065"/>
    <wne:acd wne:argValue="AgBTAEcAIABiAG8AeAAgAHQAZQB4AHQA" wne:acdName="acd11" wne:fciIndexBasedOn="0065"/>
    <wne:acd wne:argValue="AgBTAEcAIABCAG8AeAAgAHQAZQB4AHQAIABTAGgAYQBkAGUAZAA=" wne:acdName="acd12" wne:fciIndexBasedOn="0065"/>
    <wne:acd wne:argValue="AgBTAEcAIABCAG8AbABkACAAKABDAGgAYQByAGEAYwB0AGUAcgApAA==" wne:acdName="acd13" wne:fciIndexBasedOn="0065"/>
    <wne:acd wne:argValue="AgBTAEcAIABUAGEAYgBsAGUAIABIAGUAYQBkAGkAbgBnACAAMQA=" wne:acdName="acd14" wne:fciIndexBasedOn="0065"/>
    <wne:acd wne:argValue="AgBTAEcAIABUAGEAYgBsAGUAIABCAG8AZAB5ACAAMQA=" wne:acdName="acd15" wne:fciIndexBasedOn="0065"/>
  </wne:acd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F4DDA5" w14:textId="77777777" w:rsidR="00385520" w:rsidRPr="00B31C7F" w:rsidRDefault="00385520" w:rsidP="00B31C7F">
      <w:r>
        <w:separator/>
      </w:r>
    </w:p>
    <w:p w14:paraId="65E7EF96" w14:textId="77777777" w:rsidR="00385520" w:rsidRDefault="00385520"/>
    <w:p w14:paraId="0DDF3605" w14:textId="77777777" w:rsidR="00385520" w:rsidRDefault="00385520"/>
  </w:endnote>
  <w:endnote w:type="continuationSeparator" w:id="0">
    <w:p w14:paraId="6968422E" w14:textId="77777777" w:rsidR="00385520" w:rsidRPr="00B31C7F" w:rsidRDefault="00385520" w:rsidP="00B31C7F">
      <w:r>
        <w:continuationSeparator/>
      </w:r>
    </w:p>
    <w:p w14:paraId="5FBFD000" w14:textId="77777777" w:rsidR="00385520" w:rsidRDefault="00385520"/>
    <w:p w14:paraId="5C9B826A" w14:textId="77777777" w:rsidR="00385520" w:rsidRDefault="00385520"/>
  </w:endnote>
  <w:endnote w:id="1">
    <w:p w14:paraId="26387753" w14:textId="77777777" w:rsidR="00CD076F" w:rsidRDefault="00CD076F">
      <w:pPr>
        <w:pStyle w:val="EndnoteText"/>
      </w:pPr>
      <w:r>
        <w:rPr>
          <w:rStyle w:val="EndnoteReference"/>
        </w:rPr>
        <w:endnoteRef/>
      </w:r>
      <w:r>
        <w:t xml:space="preserve"> </w:t>
      </w:r>
      <w:proofErr w:type="gramStart"/>
      <w:r w:rsidRPr="00163E7C">
        <w:rPr>
          <w:rFonts w:cs="Arial"/>
          <w:sz w:val="22"/>
          <w:szCs w:val="22"/>
        </w:rPr>
        <w:t>Scottish Government (2012) Commission on Women Offenders.</w:t>
      </w:r>
      <w:proofErr w:type="gramEnd"/>
      <w:r w:rsidRPr="00163E7C">
        <w:rPr>
          <w:rFonts w:cs="Arial"/>
          <w:sz w:val="22"/>
          <w:szCs w:val="22"/>
        </w:rPr>
        <w:t xml:space="preserve"> URL: </w:t>
      </w:r>
      <w:hyperlink r:id="rId1" w:history="1">
        <w:r w:rsidRPr="00163E7C">
          <w:rPr>
            <w:rFonts w:cs="Arial"/>
            <w:color w:val="0000FF"/>
            <w:sz w:val="22"/>
            <w:szCs w:val="22"/>
            <w:u w:val="single"/>
          </w:rPr>
          <w:t>http://www.scotland.gov.uk/Resource/0039/00391828.pdf</w:t>
        </w:r>
      </w:hyperlink>
    </w:p>
  </w:endnote>
  <w:endnote w:id="2">
    <w:p w14:paraId="5F468331" w14:textId="77777777" w:rsidR="00CD076F" w:rsidRPr="00163E7C" w:rsidRDefault="00CD076F" w:rsidP="00072B27">
      <w:pPr>
        <w:rPr>
          <w:rFonts w:cs="Arial"/>
          <w:sz w:val="22"/>
          <w:szCs w:val="22"/>
        </w:rPr>
      </w:pPr>
      <w:r w:rsidRPr="00163E7C">
        <w:rPr>
          <w:rStyle w:val="EndnoteReference"/>
          <w:sz w:val="22"/>
          <w:szCs w:val="22"/>
        </w:rPr>
        <w:endnoteRef/>
      </w:r>
      <w:r w:rsidRPr="00163E7C">
        <w:rPr>
          <w:sz w:val="22"/>
          <w:szCs w:val="22"/>
        </w:rPr>
        <w:t xml:space="preserve"> </w:t>
      </w:r>
      <w:proofErr w:type="gramStart"/>
      <w:r w:rsidRPr="00163E7C">
        <w:rPr>
          <w:rFonts w:cs="Arial"/>
          <w:sz w:val="22"/>
          <w:szCs w:val="22"/>
        </w:rPr>
        <w:t>ICPS (2008) International Profile of Women’s Prisons.</w:t>
      </w:r>
      <w:proofErr w:type="gramEnd"/>
      <w:r w:rsidRPr="00163E7C">
        <w:rPr>
          <w:rFonts w:cs="Arial"/>
          <w:sz w:val="22"/>
          <w:szCs w:val="22"/>
        </w:rPr>
        <w:t xml:space="preserve">  ICPS: London. URL:   </w:t>
      </w:r>
      <w:hyperlink r:id="rId2" w:history="1">
        <w:r w:rsidRPr="00163E7C">
          <w:rPr>
            <w:rStyle w:val="Hyperlink"/>
            <w:rFonts w:cs="Arial"/>
            <w:sz w:val="22"/>
            <w:szCs w:val="22"/>
          </w:rPr>
          <w:t>http://www.prisonstudies.org/sites/prisonstudies.org/files/resources/downloads/20080501_womens_prisons_int_review__final_report_v_2.pdf</w:t>
        </w:r>
      </w:hyperlink>
    </w:p>
  </w:endnote>
  <w:endnote w:id="3">
    <w:p w14:paraId="2F23D90D" w14:textId="77777777" w:rsidR="00CD076F" w:rsidRPr="00163E7C" w:rsidRDefault="00CD076F" w:rsidP="00072B27">
      <w:pPr>
        <w:rPr>
          <w:rFonts w:cs="Arial"/>
          <w:sz w:val="22"/>
          <w:szCs w:val="22"/>
        </w:rPr>
      </w:pPr>
      <w:r w:rsidRPr="00163E7C">
        <w:rPr>
          <w:rStyle w:val="EndnoteReference"/>
          <w:rFonts w:cs="Arial"/>
          <w:sz w:val="22"/>
          <w:szCs w:val="22"/>
        </w:rPr>
        <w:endnoteRef/>
      </w:r>
      <w:r w:rsidRPr="00163E7C">
        <w:rPr>
          <w:rFonts w:cs="Arial"/>
          <w:sz w:val="22"/>
          <w:szCs w:val="22"/>
        </w:rPr>
        <w:t xml:space="preserve"> Bartels, L. &amp; Gaffney, A. (2011) Good practice in women’s prisons: A literature review.  AIC Reports: Technical and Background Paper 41, Australian Institute of Criminology. URL: </w:t>
      </w:r>
      <w:hyperlink r:id="rId3" w:history="1">
        <w:r w:rsidRPr="00163E7C">
          <w:rPr>
            <w:rStyle w:val="Hyperlink"/>
            <w:rFonts w:cs="Arial"/>
            <w:sz w:val="22"/>
            <w:szCs w:val="22"/>
          </w:rPr>
          <w:t>http://www.aic.gov.au/publications/current%20series/tbp/41-60/tbp041.html</w:t>
        </w:r>
      </w:hyperlink>
    </w:p>
  </w:endnote>
  <w:endnote w:id="4">
    <w:p w14:paraId="0D4A90EE" w14:textId="77777777" w:rsidR="00CD076F" w:rsidRPr="00163E7C" w:rsidRDefault="00CD076F" w:rsidP="00072B27">
      <w:pPr>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Prison Reform Trust (PRT) (2013) International Good Practice: alternatives to imprisonment for women offenders.</w:t>
      </w:r>
      <w:proofErr w:type="gramEnd"/>
      <w:r w:rsidRPr="00163E7C">
        <w:rPr>
          <w:rFonts w:cs="Arial"/>
          <w:sz w:val="22"/>
          <w:szCs w:val="22"/>
        </w:rPr>
        <w:t xml:space="preserve">  PRT: London URL:  </w:t>
      </w:r>
      <w:hyperlink r:id="rId4" w:history="1">
        <w:r w:rsidRPr="00163E7C">
          <w:rPr>
            <w:rStyle w:val="Hyperlink"/>
            <w:rFonts w:cs="Arial"/>
            <w:sz w:val="22"/>
            <w:szCs w:val="22"/>
          </w:rPr>
          <w:t>http://www.prisonreformtrust.org.uk/portals/0/documents/international%20good%20practice%20final.pdf</w:t>
        </w:r>
      </w:hyperlink>
    </w:p>
  </w:endnote>
  <w:endnote w:id="5">
    <w:p w14:paraId="00A6BFB3"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Prison Reform Trust (PRT) (2014) Transforming Lives: reducing women’s imprisonment.  Prison Reform Trust: London.  URL: </w:t>
      </w:r>
      <w:hyperlink r:id="rId5" w:history="1">
        <w:r w:rsidRPr="00163E7C">
          <w:rPr>
            <w:rStyle w:val="Hyperlink"/>
            <w:rFonts w:cs="Arial"/>
            <w:sz w:val="22"/>
            <w:szCs w:val="22"/>
          </w:rPr>
          <w:t>http://www.prisonreformtrust.org.uk/Portals/0/Documents/transforming%20lives.pdf</w:t>
        </w:r>
      </w:hyperlink>
    </w:p>
  </w:endnote>
  <w:endnote w:id="6">
    <w:p w14:paraId="1814E336" w14:textId="77777777" w:rsidR="00CD076F" w:rsidRPr="00163E7C" w:rsidRDefault="00CD076F" w:rsidP="00072B27">
      <w:pPr>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spellStart"/>
      <w:proofErr w:type="gramStart"/>
      <w:r w:rsidRPr="00163E7C">
        <w:rPr>
          <w:rFonts w:cs="Arial"/>
          <w:sz w:val="22"/>
          <w:szCs w:val="22"/>
        </w:rPr>
        <w:t>Convery</w:t>
      </w:r>
      <w:proofErr w:type="spellEnd"/>
      <w:r w:rsidRPr="00163E7C">
        <w:rPr>
          <w:rFonts w:cs="Arial"/>
          <w:sz w:val="22"/>
          <w:szCs w:val="22"/>
        </w:rPr>
        <w:t>, U. (2009) Addressing Offending by Women: A Literature Review.</w:t>
      </w:r>
      <w:proofErr w:type="gramEnd"/>
      <w:r w:rsidRPr="00163E7C">
        <w:rPr>
          <w:rFonts w:cs="Arial"/>
          <w:sz w:val="22"/>
          <w:szCs w:val="22"/>
        </w:rPr>
        <w:t xml:space="preserve">  Northern Ireland Office Research and Statistical Series: Report No. 21</w:t>
      </w:r>
      <w:r w:rsidRPr="00163E7C">
        <w:rPr>
          <w:rStyle w:val="EndnoteReference"/>
          <w:rFonts w:cs="Arial"/>
          <w:sz w:val="22"/>
          <w:szCs w:val="22"/>
        </w:rPr>
        <w:endnoteRef/>
      </w:r>
    </w:p>
  </w:endnote>
  <w:endnote w:id="7">
    <w:p w14:paraId="745D5666"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 xml:space="preserve">Bartels &amp; Gaffney (2011) </w:t>
      </w:r>
      <w:r w:rsidRPr="00163E7C">
        <w:rPr>
          <w:rFonts w:cs="Arial"/>
          <w:i/>
          <w:sz w:val="22"/>
          <w:szCs w:val="22"/>
        </w:rPr>
        <w:t>op cit.</w:t>
      </w:r>
      <w:proofErr w:type="gramEnd"/>
    </w:p>
  </w:endnote>
  <w:endnote w:id="8">
    <w:p w14:paraId="3BC86CD8" w14:textId="77777777" w:rsidR="00CD076F" w:rsidRPr="00FC6E02" w:rsidRDefault="00CD076F">
      <w:pPr>
        <w:pStyle w:val="EndnoteText"/>
        <w:rPr>
          <w:sz w:val="22"/>
          <w:szCs w:val="22"/>
        </w:rPr>
      </w:pPr>
      <w:r>
        <w:rPr>
          <w:rStyle w:val="EndnoteReference"/>
        </w:rPr>
        <w:endnoteRef/>
      </w:r>
      <w:r>
        <w:t xml:space="preserve"> </w:t>
      </w:r>
      <w:r w:rsidRPr="00FC6E02">
        <w:rPr>
          <w:sz w:val="22"/>
          <w:szCs w:val="22"/>
        </w:rPr>
        <w:t xml:space="preserve">Subramanian, R. &amp; Shames, A. (2013) Sentencing and Prison Practices in Germany and the Netherlands: Implications for the United States. Vera Institute of Justice: New York. URL: </w:t>
      </w:r>
      <w:hyperlink r:id="rId6" w:history="1">
        <w:r w:rsidRPr="00FC6E02">
          <w:rPr>
            <w:rStyle w:val="Hyperlink"/>
            <w:sz w:val="22"/>
            <w:szCs w:val="22"/>
          </w:rPr>
          <w:t>http://www.vera.org/sites/default/files/resources/downloads/european-american-prison-report-v3.pdf</w:t>
        </w:r>
      </w:hyperlink>
      <w:r w:rsidRPr="00FC6E02">
        <w:rPr>
          <w:sz w:val="22"/>
          <w:szCs w:val="22"/>
        </w:rPr>
        <w:t xml:space="preserve"> </w:t>
      </w:r>
    </w:p>
  </w:endnote>
  <w:endnote w:id="9">
    <w:p w14:paraId="13047E5A" w14:textId="77777777" w:rsidR="00CD076F" w:rsidRPr="00163E7C" w:rsidRDefault="00CD076F" w:rsidP="00587B82">
      <w:pPr>
        <w:pStyle w:val="EndnoteText"/>
        <w:jc w:val="left"/>
        <w:rPr>
          <w:rFonts w:cs="Arial"/>
          <w:sz w:val="22"/>
          <w:szCs w:val="22"/>
        </w:rPr>
      </w:pPr>
      <w:r w:rsidRPr="00FC6E02">
        <w:rPr>
          <w:rStyle w:val="EndnoteReference"/>
          <w:rFonts w:cs="Arial"/>
          <w:sz w:val="22"/>
          <w:szCs w:val="22"/>
        </w:rPr>
        <w:endnoteRef/>
      </w:r>
      <w:r w:rsidRPr="00FC6E02">
        <w:rPr>
          <w:rFonts w:cs="Arial"/>
          <w:sz w:val="22"/>
          <w:szCs w:val="22"/>
        </w:rPr>
        <w:t xml:space="preserve"> ICPS (2011) World Female Imprisonment List (second edition)   URL:</w:t>
      </w:r>
      <w:r w:rsidRPr="00163E7C">
        <w:rPr>
          <w:rFonts w:cs="Arial"/>
          <w:sz w:val="22"/>
          <w:szCs w:val="22"/>
        </w:rPr>
        <w:t xml:space="preserve"> </w:t>
      </w:r>
      <w:r w:rsidRPr="00EB29FB">
        <w:rPr>
          <w:sz w:val="22"/>
          <w:szCs w:val="22"/>
        </w:rPr>
        <w:t>http://www.prisonstudies.org/sites/default/files/resources/downloads/wfil_2nd_edition.pdf</w:t>
      </w:r>
    </w:p>
  </w:endnote>
  <w:endnote w:id="10">
    <w:p w14:paraId="2E6FFB0B" w14:textId="77777777" w:rsidR="00CD076F" w:rsidRPr="00656AAE" w:rsidRDefault="00CD076F" w:rsidP="0008408A">
      <w:pPr>
        <w:rPr>
          <w:sz w:val="22"/>
          <w:szCs w:val="22"/>
        </w:rPr>
      </w:pPr>
      <w:r>
        <w:rPr>
          <w:rStyle w:val="EndnoteReference"/>
        </w:rPr>
        <w:endnoteRef/>
      </w:r>
      <w:r>
        <w:t xml:space="preserve"> </w:t>
      </w:r>
      <w:r w:rsidRPr="00656AAE">
        <w:rPr>
          <w:sz w:val="22"/>
          <w:szCs w:val="22"/>
        </w:rPr>
        <w:t>See World Prison Brief (International Centre for Prison Studies) website. URL:</w:t>
      </w:r>
    </w:p>
    <w:p w14:paraId="0353C7A5" w14:textId="791E0FC3" w:rsidR="00CD076F" w:rsidRDefault="00246821" w:rsidP="00402D02">
      <w:hyperlink r:id="rId7" w:history="1">
        <w:r w:rsidR="00CD076F" w:rsidRPr="00656AAE">
          <w:rPr>
            <w:rStyle w:val="Hyperlink"/>
            <w:sz w:val="22"/>
            <w:szCs w:val="22"/>
          </w:rPr>
          <w:t>http://www.prisonstudies.org/about-wpb</w:t>
        </w:r>
      </w:hyperlink>
      <w:r w:rsidR="00CD076F" w:rsidRPr="00656AAE">
        <w:rPr>
          <w:sz w:val="22"/>
          <w:szCs w:val="22"/>
        </w:rPr>
        <w:t xml:space="preserve">.  </w:t>
      </w:r>
      <w:proofErr w:type="gramStart"/>
      <w:r w:rsidR="00CD076F" w:rsidRPr="00656AAE">
        <w:rPr>
          <w:sz w:val="22"/>
          <w:szCs w:val="22"/>
        </w:rPr>
        <w:t>Accessed 1 Aug 2015.</w:t>
      </w:r>
      <w:proofErr w:type="gramEnd"/>
      <w:r w:rsidR="00402D02">
        <w:t xml:space="preserve"> </w:t>
      </w:r>
    </w:p>
  </w:endnote>
  <w:endnote w:id="11">
    <w:p w14:paraId="401EABAE" w14:textId="77777777" w:rsidR="00CD076F" w:rsidRPr="00163E7C" w:rsidRDefault="00CD076F" w:rsidP="00072B27">
      <w:pPr>
        <w:pStyle w:val="Bibliography"/>
        <w:jc w:val="left"/>
        <w:rPr>
          <w:rFonts w:cs="Arial"/>
          <w:sz w:val="22"/>
          <w:szCs w:val="22"/>
        </w:rPr>
      </w:pPr>
      <w:r w:rsidRPr="00163E7C">
        <w:rPr>
          <w:rStyle w:val="EndnoteReference"/>
          <w:rFonts w:cs="Arial"/>
          <w:sz w:val="22"/>
          <w:szCs w:val="22"/>
        </w:rPr>
        <w:endnoteRef/>
      </w:r>
      <w:r w:rsidRPr="00163E7C">
        <w:rPr>
          <w:rFonts w:cs="Arial"/>
          <w:noProof/>
          <w:sz w:val="22"/>
          <w:szCs w:val="22"/>
        </w:rPr>
        <w:t xml:space="preserve"> Scottish Prison Service (SPS) (2014). </w:t>
      </w:r>
      <w:r w:rsidRPr="00163E7C">
        <w:rPr>
          <w:rFonts w:cs="Arial"/>
          <w:iCs/>
          <w:noProof/>
          <w:sz w:val="22"/>
          <w:szCs w:val="22"/>
        </w:rPr>
        <w:t>SPS Annual Report 2013-2014.</w:t>
      </w:r>
      <w:r w:rsidRPr="00163E7C">
        <w:rPr>
          <w:rFonts w:cs="Arial"/>
          <w:noProof/>
          <w:sz w:val="22"/>
          <w:szCs w:val="22"/>
        </w:rPr>
        <w:t xml:space="preserve"> URL: </w:t>
      </w:r>
      <w:hyperlink r:id="rId8" w:history="1">
        <w:r w:rsidRPr="00163E7C">
          <w:rPr>
            <w:rStyle w:val="Hyperlink"/>
            <w:rFonts w:cs="Arial"/>
            <w:noProof/>
            <w:sz w:val="22"/>
            <w:szCs w:val="22"/>
          </w:rPr>
          <w:t>http://www.sps.gov.uk/Corporate/Publications/Publication-2194.aspx</w:t>
        </w:r>
      </w:hyperlink>
      <w:r w:rsidRPr="00163E7C">
        <w:rPr>
          <w:rFonts w:cs="Arial"/>
          <w:noProof/>
          <w:sz w:val="22"/>
          <w:szCs w:val="22"/>
        </w:rPr>
        <w:t xml:space="preserve">. </w:t>
      </w:r>
    </w:p>
  </w:endnote>
  <w:endnote w:id="12">
    <w:p w14:paraId="73AD0887" w14:textId="77777777" w:rsidR="00CD076F" w:rsidRPr="00163E7C" w:rsidRDefault="00CD076F" w:rsidP="00072B27">
      <w:pPr>
        <w:pStyle w:val="EndnoteText"/>
        <w:jc w:val="left"/>
        <w:rPr>
          <w:rFonts w:cs="Arial"/>
          <w:b/>
          <w:sz w:val="22"/>
          <w:szCs w:val="22"/>
        </w:rPr>
      </w:pPr>
      <w:r w:rsidRPr="00163E7C">
        <w:rPr>
          <w:rStyle w:val="EndnoteReference"/>
          <w:rFonts w:cs="Arial"/>
          <w:sz w:val="22"/>
          <w:szCs w:val="22"/>
        </w:rPr>
        <w:endnoteRef/>
      </w:r>
      <w:r w:rsidRPr="00163E7C">
        <w:rPr>
          <w:rFonts w:cs="Arial"/>
          <w:sz w:val="22"/>
          <w:szCs w:val="22"/>
        </w:rPr>
        <w:t xml:space="preserve"> </w:t>
      </w:r>
      <w:r w:rsidRPr="00163E7C">
        <w:rPr>
          <w:rFonts w:cs="Arial"/>
          <w:noProof/>
          <w:sz w:val="22"/>
          <w:szCs w:val="22"/>
        </w:rPr>
        <w:t xml:space="preserve">McIvor, G., Trotter, C., &amp; Sheehan, R. (2009). </w:t>
      </w:r>
      <w:r w:rsidRPr="00163E7C">
        <w:rPr>
          <w:rFonts w:cs="Arial"/>
          <w:iCs/>
          <w:noProof/>
          <w:sz w:val="22"/>
          <w:szCs w:val="22"/>
        </w:rPr>
        <w:t>Women, resettlement and desistence.</w:t>
      </w:r>
      <w:r w:rsidRPr="00163E7C">
        <w:rPr>
          <w:rFonts w:cs="Arial"/>
          <w:sz w:val="22"/>
          <w:szCs w:val="22"/>
          <w:lang w:val="en"/>
        </w:rPr>
        <w:t xml:space="preserve"> Probation Journal</w:t>
      </w:r>
      <w:r w:rsidRPr="00163E7C">
        <w:rPr>
          <w:rStyle w:val="slug-pub-date3"/>
          <w:rFonts w:cs="Arial"/>
          <w:sz w:val="22"/>
          <w:szCs w:val="22"/>
          <w:lang w:val="en"/>
        </w:rPr>
        <w:t xml:space="preserve"> </w:t>
      </w:r>
      <w:r w:rsidRPr="00163E7C">
        <w:rPr>
          <w:rStyle w:val="slug-vol"/>
          <w:rFonts w:cs="Arial"/>
          <w:sz w:val="22"/>
          <w:szCs w:val="22"/>
          <w:lang w:val="en"/>
        </w:rPr>
        <w:t xml:space="preserve">vol. 56 </w:t>
      </w:r>
      <w:r w:rsidRPr="00163E7C">
        <w:rPr>
          <w:rStyle w:val="slug-issue"/>
          <w:rFonts w:cs="Arial"/>
          <w:sz w:val="22"/>
          <w:szCs w:val="22"/>
          <w:lang w:val="en"/>
        </w:rPr>
        <w:t xml:space="preserve">no. 4 </w:t>
      </w:r>
      <w:r w:rsidRPr="00163E7C">
        <w:rPr>
          <w:rStyle w:val="slug-pages3"/>
          <w:rFonts w:eastAsiaTheme="majorEastAsia" w:cs="Arial"/>
          <w:b w:val="0"/>
          <w:sz w:val="22"/>
          <w:szCs w:val="22"/>
          <w:lang w:val="en"/>
        </w:rPr>
        <w:t>347-361</w:t>
      </w:r>
    </w:p>
  </w:endnote>
  <w:endnote w:id="13">
    <w:p w14:paraId="502D1D7A" w14:textId="77777777" w:rsidR="00CD076F" w:rsidRPr="00163E7C" w:rsidRDefault="00CD076F" w:rsidP="00072B27">
      <w:pPr>
        <w:pStyle w:val="Bibliography"/>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r w:rsidRPr="00163E7C">
        <w:rPr>
          <w:rFonts w:cs="Arial"/>
          <w:noProof/>
          <w:sz w:val="22"/>
          <w:szCs w:val="22"/>
        </w:rPr>
        <w:t xml:space="preserve">Stancer, C. (2006). </w:t>
      </w:r>
      <w:r w:rsidRPr="00163E7C">
        <w:rPr>
          <w:rFonts w:cs="Arial"/>
          <w:iCs/>
          <w:noProof/>
          <w:sz w:val="22"/>
          <w:szCs w:val="22"/>
        </w:rPr>
        <w:t>Finding somewhere to live: the resettlement needs of young women leaving prison.</w:t>
      </w:r>
      <w:r w:rsidRPr="00163E7C">
        <w:rPr>
          <w:rFonts w:cs="Arial"/>
          <w:noProof/>
          <w:sz w:val="22"/>
          <w:szCs w:val="22"/>
        </w:rPr>
        <w:t xml:space="preserve"> London: Women in Prison.</w:t>
      </w:r>
    </w:p>
  </w:endnote>
  <w:endnote w:id="14">
    <w:p w14:paraId="6DD0A3AA" w14:textId="77777777" w:rsidR="00CD076F" w:rsidRPr="00163E7C" w:rsidRDefault="00CD076F" w:rsidP="00072B27">
      <w:pPr>
        <w:pStyle w:val="Bibliography"/>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r w:rsidRPr="00163E7C">
        <w:rPr>
          <w:rFonts w:cs="Arial"/>
          <w:noProof/>
          <w:sz w:val="22"/>
          <w:szCs w:val="22"/>
        </w:rPr>
        <w:t xml:space="preserve">Scottish Government (2014) </w:t>
      </w:r>
      <w:r w:rsidRPr="00163E7C">
        <w:rPr>
          <w:rFonts w:cs="Arial"/>
          <w:iCs/>
          <w:noProof/>
          <w:sz w:val="22"/>
          <w:szCs w:val="22"/>
        </w:rPr>
        <w:t>Criminal Proceedings in Scotland Statistical Bulletin tables 2013-14.</w:t>
      </w:r>
      <w:r w:rsidRPr="00163E7C">
        <w:rPr>
          <w:rFonts w:cs="Arial"/>
          <w:noProof/>
          <w:sz w:val="22"/>
          <w:szCs w:val="22"/>
        </w:rPr>
        <w:t xml:space="preserve"> The Scottish Government. URL: </w:t>
      </w:r>
      <w:hyperlink r:id="rId9" w:history="1">
        <w:r w:rsidRPr="00163E7C">
          <w:rPr>
            <w:rStyle w:val="Hyperlink"/>
            <w:rFonts w:cs="Arial"/>
            <w:noProof/>
            <w:sz w:val="22"/>
            <w:szCs w:val="22"/>
          </w:rPr>
          <w:t>http://www.scotland.gov.uk/Topics/Statistics/Browse/Crime-Justice/PubCriminalProceedings</w:t>
        </w:r>
      </w:hyperlink>
      <w:r w:rsidRPr="00163E7C">
        <w:rPr>
          <w:rFonts w:cs="Arial"/>
          <w:noProof/>
          <w:sz w:val="22"/>
          <w:szCs w:val="22"/>
        </w:rPr>
        <w:t xml:space="preserve">. </w:t>
      </w:r>
    </w:p>
  </w:endnote>
  <w:endnote w:id="15">
    <w:p w14:paraId="7823A27F" w14:textId="77777777" w:rsidR="00CD076F" w:rsidRPr="00163E7C" w:rsidRDefault="00CD076F" w:rsidP="00072B27">
      <w:pPr>
        <w:pStyle w:val="Bibliography"/>
        <w:jc w:val="left"/>
        <w:rPr>
          <w:rFonts w:cs="Arial"/>
          <w:sz w:val="22"/>
          <w:szCs w:val="22"/>
          <w:highlight w:val="yellow"/>
        </w:rPr>
      </w:pPr>
      <w:r w:rsidRPr="00163E7C">
        <w:rPr>
          <w:rStyle w:val="EndnoteReference"/>
          <w:rFonts w:cs="Arial"/>
          <w:sz w:val="22"/>
          <w:szCs w:val="22"/>
        </w:rPr>
        <w:endnoteRef/>
      </w:r>
      <w:r w:rsidRPr="00163E7C">
        <w:rPr>
          <w:rFonts w:cs="Arial"/>
          <w:sz w:val="22"/>
          <w:szCs w:val="22"/>
        </w:rPr>
        <w:t xml:space="preserve"> </w:t>
      </w:r>
      <w:r w:rsidRPr="00163E7C">
        <w:rPr>
          <w:rFonts w:cs="Arial"/>
          <w:noProof/>
          <w:sz w:val="22"/>
          <w:szCs w:val="22"/>
        </w:rPr>
        <w:t xml:space="preserve">McIvor, G., &amp; Burman, M. (2011). </w:t>
      </w:r>
      <w:r w:rsidRPr="00163E7C">
        <w:rPr>
          <w:rFonts w:cs="Arial"/>
          <w:iCs/>
          <w:noProof/>
          <w:sz w:val="22"/>
          <w:szCs w:val="22"/>
        </w:rPr>
        <w:t>Understanding the Drivers of Female Imprisonment in Scotland, Briefing 01/2011.</w:t>
      </w:r>
      <w:r w:rsidRPr="00163E7C">
        <w:rPr>
          <w:rFonts w:cs="Arial"/>
          <w:noProof/>
          <w:sz w:val="22"/>
          <w:szCs w:val="22"/>
        </w:rPr>
        <w:t xml:space="preserve"> The Scottish Centre for Crime &amp; Justice Research.</w:t>
      </w:r>
    </w:p>
  </w:endnote>
  <w:endnote w:id="16">
    <w:p w14:paraId="0A1DD827"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 xml:space="preserve">Cited in Bartels &amp; Gaffney (2011) </w:t>
      </w:r>
      <w:r w:rsidRPr="00163E7C">
        <w:rPr>
          <w:rFonts w:cs="Arial"/>
          <w:i/>
          <w:sz w:val="22"/>
          <w:szCs w:val="22"/>
        </w:rPr>
        <w:t>op cit.</w:t>
      </w:r>
      <w:proofErr w:type="gramEnd"/>
    </w:p>
  </w:endnote>
  <w:endnote w:id="17">
    <w:p w14:paraId="35FA06F1"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r w:rsidRPr="00163E7C">
        <w:rPr>
          <w:rFonts w:cs="Arial"/>
          <w:noProof/>
          <w:sz w:val="22"/>
          <w:szCs w:val="22"/>
        </w:rPr>
        <w:t xml:space="preserve">Ministry of Justice (MOJ) (2014) </w:t>
      </w:r>
      <w:r w:rsidRPr="00163E7C">
        <w:rPr>
          <w:rFonts w:cs="Arial"/>
          <w:iCs/>
          <w:noProof/>
          <w:sz w:val="22"/>
          <w:szCs w:val="22"/>
        </w:rPr>
        <w:t>Transforming Rehabilitation: a summary of the evidence on reducing reoffending.</w:t>
      </w:r>
      <w:r w:rsidRPr="00163E7C">
        <w:rPr>
          <w:rFonts w:cs="Arial"/>
          <w:noProof/>
          <w:sz w:val="22"/>
          <w:szCs w:val="22"/>
        </w:rPr>
        <w:t xml:space="preserve"> MOJ: London. URL: </w:t>
      </w:r>
      <w:hyperlink r:id="rId10" w:history="1">
        <w:r w:rsidRPr="00163E7C">
          <w:rPr>
            <w:rStyle w:val="Hyperlink"/>
            <w:rFonts w:cs="Arial"/>
            <w:noProof/>
            <w:sz w:val="22"/>
            <w:szCs w:val="22"/>
          </w:rPr>
          <w:t>https://www.gov.uk/government/publications/transforming-rehabilitation-a-summary-of-evidence-on-reducing-reoffending</w:t>
        </w:r>
      </w:hyperlink>
      <w:r w:rsidRPr="00163E7C">
        <w:rPr>
          <w:rFonts w:cs="Arial"/>
          <w:noProof/>
          <w:sz w:val="22"/>
          <w:szCs w:val="22"/>
        </w:rPr>
        <w:t xml:space="preserve"> </w:t>
      </w:r>
      <w:r w:rsidRPr="00163E7C">
        <w:rPr>
          <w:rFonts w:cs="Arial"/>
          <w:sz w:val="22"/>
          <w:szCs w:val="22"/>
        </w:rPr>
        <w:t>.</w:t>
      </w:r>
    </w:p>
  </w:endnote>
  <w:endnote w:id="18">
    <w:p w14:paraId="53E91CEC" w14:textId="77777777" w:rsidR="00CD076F" w:rsidRPr="00163E7C" w:rsidRDefault="00CD076F" w:rsidP="00072B27">
      <w:pPr>
        <w:pStyle w:val="Bibliography"/>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r w:rsidRPr="00163E7C">
        <w:rPr>
          <w:rFonts w:cs="Arial"/>
          <w:noProof/>
          <w:sz w:val="22"/>
          <w:szCs w:val="22"/>
        </w:rPr>
        <w:t xml:space="preserve">Scottish Government. (2014). </w:t>
      </w:r>
      <w:r w:rsidRPr="00163E7C">
        <w:rPr>
          <w:rFonts w:cs="Arial"/>
          <w:iCs/>
          <w:noProof/>
          <w:sz w:val="22"/>
          <w:szCs w:val="22"/>
        </w:rPr>
        <w:t xml:space="preserve">RECONVICTION RATES IN SCOTLAND: 2011-12 OFFENDER COHORT </w:t>
      </w:r>
      <w:r w:rsidRPr="00163E7C">
        <w:rPr>
          <w:rFonts w:cs="Arial"/>
          <w:noProof/>
          <w:sz w:val="22"/>
          <w:szCs w:val="22"/>
        </w:rPr>
        <w:t xml:space="preserve">Scottish Government. URL: </w:t>
      </w:r>
      <w:hyperlink r:id="rId11" w:history="1">
        <w:r w:rsidRPr="00163E7C">
          <w:rPr>
            <w:rStyle w:val="Hyperlink"/>
            <w:rFonts w:cs="Arial"/>
            <w:noProof/>
            <w:sz w:val="22"/>
            <w:szCs w:val="22"/>
          </w:rPr>
          <w:t>http://www.scotland.gov.uk/Resource/0045/00452150.pdf</w:t>
        </w:r>
      </w:hyperlink>
      <w:r w:rsidRPr="00163E7C">
        <w:rPr>
          <w:rFonts w:cs="Arial"/>
          <w:noProof/>
          <w:sz w:val="22"/>
          <w:szCs w:val="22"/>
        </w:rPr>
        <w:t xml:space="preserve">. </w:t>
      </w:r>
      <w:r w:rsidRPr="00163E7C">
        <w:rPr>
          <w:rFonts w:cs="Arial"/>
          <w:iCs/>
          <w:noProof/>
          <w:sz w:val="22"/>
          <w:szCs w:val="22"/>
        </w:rPr>
        <w:t>(Table12).</w:t>
      </w:r>
    </w:p>
  </w:endnote>
  <w:endnote w:id="19">
    <w:p w14:paraId="31076D9D" w14:textId="77777777" w:rsidR="00CD076F" w:rsidRPr="00163E7C" w:rsidRDefault="00CD076F" w:rsidP="00072B27">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lang w:eastAsia="en-GB"/>
        </w:rPr>
        <w:t>United Kingdom Home Office (2007).</w:t>
      </w:r>
      <w:proofErr w:type="gramEnd"/>
      <w:r w:rsidRPr="00163E7C">
        <w:rPr>
          <w:rFonts w:cs="Arial"/>
          <w:sz w:val="22"/>
          <w:szCs w:val="22"/>
          <w:lang w:eastAsia="en-GB"/>
        </w:rPr>
        <w:t xml:space="preserve"> </w:t>
      </w:r>
      <w:r w:rsidRPr="00163E7C">
        <w:rPr>
          <w:rFonts w:cs="Arial"/>
          <w:iCs/>
          <w:sz w:val="22"/>
          <w:szCs w:val="22"/>
          <w:lang w:eastAsia="en-GB"/>
        </w:rPr>
        <w:t xml:space="preserve">The </w:t>
      </w:r>
      <w:proofErr w:type="spellStart"/>
      <w:r w:rsidRPr="00163E7C">
        <w:rPr>
          <w:rFonts w:cs="Arial"/>
          <w:iCs/>
          <w:sz w:val="22"/>
          <w:szCs w:val="22"/>
          <w:lang w:eastAsia="en-GB"/>
        </w:rPr>
        <w:t>Corston</w:t>
      </w:r>
      <w:proofErr w:type="spellEnd"/>
      <w:r w:rsidRPr="00163E7C">
        <w:rPr>
          <w:rFonts w:cs="Arial"/>
          <w:iCs/>
          <w:sz w:val="22"/>
          <w:szCs w:val="22"/>
          <w:lang w:eastAsia="en-GB"/>
        </w:rPr>
        <w:t xml:space="preserve"> report: A report by Baroness Jean </w:t>
      </w:r>
      <w:proofErr w:type="spellStart"/>
      <w:r w:rsidRPr="00163E7C">
        <w:rPr>
          <w:rFonts w:cs="Arial"/>
          <w:iCs/>
          <w:sz w:val="22"/>
          <w:szCs w:val="22"/>
          <w:lang w:eastAsia="en-GB"/>
        </w:rPr>
        <w:t>Corston</w:t>
      </w:r>
      <w:proofErr w:type="spellEnd"/>
      <w:r w:rsidRPr="00163E7C">
        <w:rPr>
          <w:rFonts w:cs="Arial"/>
          <w:iCs/>
          <w:sz w:val="22"/>
          <w:szCs w:val="22"/>
          <w:lang w:eastAsia="en-GB"/>
        </w:rPr>
        <w:t xml:space="preserve"> of a review of women with particular vulnerabilities in the criminal justice system</w:t>
      </w:r>
      <w:r w:rsidRPr="00163E7C">
        <w:rPr>
          <w:rFonts w:cs="Arial"/>
          <w:sz w:val="22"/>
          <w:szCs w:val="22"/>
          <w:lang w:eastAsia="en-GB"/>
        </w:rPr>
        <w:t xml:space="preserve">. URL: </w:t>
      </w:r>
      <w:hyperlink r:id="rId12" w:history="1">
        <w:r w:rsidRPr="00163E7C">
          <w:rPr>
            <w:rStyle w:val="Hyperlink"/>
            <w:rFonts w:cs="Arial"/>
            <w:sz w:val="22"/>
            <w:szCs w:val="22"/>
            <w:lang w:eastAsia="en-GB"/>
          </w:rPr>
          <w:t>http://www.justice.gov.uk/publications/docs/corstonreport-march-2007.pdf</w:t>
        </w:r>
      </w:hyperlink>
      <w:r w:rsidRPr="00163E7C">
        <w:rPr>
          <w:rFonts w:cs="Arial"/>
          <w:sz w:val="22"/>
          <w:szCs w:val="22"/>
          <w:lang w:eastAsia="en-GB"/>
        </w:rPr>
        <w:t xml:space="preserve"> </w:t>
      </w:r>
    </w:p>
  </w:endnote>
  <w:endnote w:id="20">
    <w:p w14:paraId="0504FEC0"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Scottish Government (2012) Commission on Women Offenders</w:t>
      </w:r>
      <w:r>
        <w:rPr>
          <w:rFonts w:cs="Arial"/>
          <w:sz w:val="22"/>
          <w:szCs w:val="22"/>
        </w:rPr>
        <w:t xml:space="preserve"> </w:t>
      </w:r>
      <w:r w:rsidRPr="00FC6E02">
        <w:rPr>
          <w:rFonts w:cs="Arial"/>
          <w:i/>
          <w:sz w:val="22"/>
          <w:szCs w:val="22"/>
        </w:rPr>
        <w:t>op cit.</w:t>
      </w:r>
      <w:proofErr w:type="gramEnd"/>
    </w:p>
  </w:endnote>
  <w:endnote w:id="21">
    <w:p w14:paraId="2BADAFA4"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 xml:space="preserve">Bartels &amp; Gaffney (2011) </w:t>
      </w:r>
      <w:r w:rsidRPr="00163E7C">
        <w:rPr>
          <w:rFonts w:cs="Arial"/>
          <w:i/>
          <w:sz w:val="22"/>
          <w:szCs w:val="22"/>
        </w:rPr>
        <w:t>op cit.</w:t>
      </w:r>
      <w:proofErr w:type="gramEnd"/>
    </w:p>
  </w:endnote>
  <w:endnote w:id="22">
    <w:p w14:paraId="413800A4"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 xml:space="preserve">Scottish Government (2012) Commission on Women Offenders </w:t>
      </w:r>
      <w:r w:rsidRPr="00163E7C">
        <w:rPr>
          <w:rFonts w:cs="Arial"/>
          <w:i/>
          <w:sz w:val="22"/>
          <w:szCs w:val="22"/>
        </w:rPr>
        <w:t>op cit.</w:t>
      </w:r>
      <w:proofErr w:type="gramEnd"/>
    </w:p>
  </w:endnote>
  <w:endnote w:id="23">
    <w:p w14:paraId="1C7D7A28"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 xml:space="preserve">Bartels &amp; Gaffney (2011) </w:t>
      </w:r>
      <w:r w:rsidRPr="00163E7C">
        <w:rPr>
          <w:rFonts w:cs="Arial"/>
          <w:i/>
          <w:sz w:val="22"/>
          <w:szCs w:val="22"/>
        </w:rPr>
        <w:t>op cit.</w:t>
      </w:r>
      <w:proofErr w:type="gramEnd"/>
    </w:p>
  </w:endnote>
  <w:endnote w:id="24">
    <w:p w14:paraId="14C41D8F"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w:t>
      </w:r>
    </w:p>
  </w:endnote>
  <w:endnote w:id="25">
    <w:p w14:paraId="42AEC64C"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ICPS (2008) International Profile of Women’s </w:t>
      </w:r>
      <w:proofErr w:type="gramStart"/>
      <w:r w:rsidRPr="00163E7C">
        <w:rPr>
          <w:rFonts w:cs="Arial"/>
          <w:sz w:val="22"/>
          <w:szCs w:val="22"/>
        </w:rPr>
        <w:t xml:space="preserve">Prisons  </w:t>
      </w:r>
      <w:r w:rsidRPr="00163E7C">
        <w:rPr>
          <w:rFonts w:cs="Arial"/>
          <w:i/>
          <w:sz w:val="22"/>
          <w:szCs w:val="22"/>
        </w:rPr>
        <w:t>op</w:t>
      </w:r>
      <w:proofErr w:type="gramEnd"/>
      <w:r w:rsidRPr="00163E7C">
        <w:rPr>
          <w:rFonts w:cs="Arial"/>
          <w:i/>
          <w:sz w:val="22"/>
          <w:szCs w:val="22"/>
        </w:rPr>
        <w:t xml:space="preserve"> cit.</w:t>
      </w:r>
    </w:p>
  </w:endnote>
  <w:endnote w:id="26">
    <w:p w14:paraId="45FA3929"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 xml:space="preserve">Bartels &amp; Gaffney (2011) </w:t>
      </w:r>
      <w:r w:rsidRPr="00163E7C">
        <w:rPr>
          <w:rFonts w:cs="Arial"/>
          <w:i/>
          <w:sz w:val="22"/>
          <w:szCs w:val="22"/>
        </w:rPr>
        <w:t>op cit.</w:t>
      </w:r>
      <w:proofErr w:type="gramEnd"/>
    </w:p>
  </w:endnote>
  <w:endnote w:id="27">
    <w:p w14:paraId="2B6FB4C9"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 p21-22</w:t>
      </w:r>
    </w:p>
  </w:endnote>
  <w:endnote w:id="28">
    <w:p w14:paraId="77774328" w14:textId="77777777" w:rsidR="00CD076F" w:rsidRPr="00163E7C" w:rsidRDefault="00CD076F" w:rsidP="00072B27">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cs="Arial"/>
          <w:sz w:val="22"/>
          <w:szCs w:val="22"/>
        </w:rPr>
      </w:pPr>
      <w:r w:rsidRPr="00163E7C">
        <w:rPr>
          <w:rStyle w:val="EndnoteReference"/>
          <w:rFonts w:cs="Arial"/>
          <w:sz w:val="22"/>
          <w:szCs w:val="22"/>
        </w:rPr>
        <w:endnoteRef/>
      </w:r>
      <w:r w:rsidRPr="00163E7C">
        <w:rPr>
          <w:rFonts w:cs="Arial"/>
          <w:sz w:val="22"/>
          <w:szCs w:val="22"/>
        </w:rPr>
        <w:t xml:space="preserve"> </w:t>
      </w:r>
      <w:r w:rsidRPr="00163E7C">
        <w:rPr>
          <w:rFonts w:cs="Arial"/>
          <w:iCs/>
          <w:sz w:val="22"/>
          <w:szCs w:val="22"/>
          <w:lang w:eastAsia="en-GB"/>
        </w:rPr>
        <w:t xml:space="preserve">UN Rules for the Treatment of Women Prisoners and Non-Custodial Measures for Women Offenders </w:t>
      </w:r>
      <w:r w:rsidRPr="00163E7C">
        <w:rPr>
          <w:rFonts w:cs="Arial"/>
          <w:sz w:val="22"/>
          <w:szCs w:val="22"/>
          <w:lang w:eastAsia="en-GB"/>
        </w:rPr>
        <w:t xml:space="preserve">(Bangkok Rules) July 2010: Rules 57 and 58. </w:t>
      </w:r>
    </w:p>
  </w:endnote>
  <w:endnote w:id="29">
    <w:p w14:paraId="355841F4"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 xml:space="preserve">Prison Reform Trust (PRT) (2013) International Good Practice </w:t>
      </w:r>
      <w:r w:rsidRPr="00163E7C">
        <w:rPr>
          <w:rFonts w:cs="Arial"/>
          <w:i/>
          <w:sz w:val="22"/>
          <w:szCs w:val="22"/>
        </w:rPr>
        <w:t>op cit.</w:t>
      </w:r>
      <w:proofErr w:type="gramEnd"/>
    </w:p>
  </w:endnote>
  <w:endnote w:id="30">
    <w:p w14:paraId="15E70130"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Lindstrom, P. &amp; </w:t>
      </w:r>
      <w:proofErr w:type="spellStart"/>
      <w:r w:rsidRPr="00163E7C">
        <w:rPr>
          <w:rFonts w:cs="Arial"/>
          <w:sz w:val="22"/>
          <w:szCs w:val="22"/>
        </w:rPr>
        <w:t>Leijonram</w:t>
      </w:r>
      <w:proofErr w:type="spellEnd"/>
      <w:r w:rsidRPr="00163E7C">
        <w:rPr>
          <w:rFonts w:cs="Arial"/>
          <w:sz w:val="22"/>
          <w:szCs w:val="22"/>
        </w:rPr>
        <w:t xml:space="preserve">, E. (2008) The Swedish prison system. </w:t>
      </w:r>
      <w:proofErr w:type="gramStart"/>
      <w:r w:rsidRPr="00163E7C">
        <w:rPr>
          <w:rFonts w:cs="Arial"/>
          <w:sz w:val="22"/>
          <w:szCs w:val="22"/>
        </w:rPr>
        <w:t>Ministry of Justice.</w:t>
      </w:r>
      <w:proofErr w:type="gramEnd"/>
      <w:r w:rsidRPr="00163E7C">
        <w:rPr>
          <w:rFonts w:cs="Arial"/>
          <w:sz w:val="22"/>
          <w:szCs w:val="22"/>
        </w:rPr>
        <w:t xml:space="preserve">  URL: </w:t>
      </w:r>
      <w:hyperlink r:id="rId13" w:history="1">
        <w:r w:rsidRPr="00163E7C">
          <w:rPr>
            <w:rStyle w:val="Hyperlink"/>
            <w:rFonts w:cs="Arial"/>
            <w:sz w:val="22"/>
            <w:szCs w:val="22"/>
          </w:rPr>
          <w:t>http://www.internationalpenalandpenitentiaryfoundation.org/Site/documents/Stavern/29_Stavern_Report%20Sweden.pdf</w:t>
        </w:r>
      </w:hyperlink>
      <w:r w:rsidRPr="00163E7C">
        <w:rPr>
          <w:rFonts w:cs="Arial"/>
          <w:sz w:val="22"/>
          <w:szCs w:val="22"/>
        </w:rPr>
        <w:t xml:space="preserve"> </w:t>
      </w:r>
    </w:p>
  </w:endnote>
  <w:endnote w:id="31">
    <w:p w14:paraId="5A255638"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Swedish Government (2000) Principles for the Treatment of Women Sentenced to Imprisonment: A National Report from Sweden.  Ministry of Justice, Sweden,  URL: </w:t>
      </w:r>
      <w:hyperlink r:id="rId14" w:history="1">
        <w:r w:rsidRPr="00163E7C">
          <w:rPr>
            <w:rStyle w:val="Hyperlink"/>
            <w:rFonts w:cs="Arial"/>
            <w:sz w:val="22"/>
            <w:szCs w:val="22"/>
          </w:rPr>
          <w:t>http://www.government.se/content/1/c6/02/07/19/2b28c4cc.pdf</w:t>
        </w:r>
      </w:hyperlink>
      <w:r w:rsidRPr="00163E7C">
        <w:rPr>
          <w:rFonts w:cs="Arial"/>
          <w:sz w:val="22"/>
          <w:szCs w:val="22"/>
        </w:rPr>
        <w:t xml:space="preserve"> </w:t>
      </w:r>
    </w:p>
  </w:endnote>
  <w:endnote w:id="32">
    <w:p w14:paraId="65697CA1" w14:textId="77777777" w:rsidR="00CD076F" w:rsidRPr="00163E7C" w:rsidRDefault="00CD076F" w:rsidP="00F00585">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spellStart"/>
      <w:proofErr w:type="gramStart"/>
      <w:r w:rsidRPr="00163E7C">
        <w:rPr>
          <w:rFonts w:cs="Arial"/>
          <w:sz w:val="22"/>
          <w:szCs w:val="22"/>
        </w:rPr>
        <w:t>Convery</w:t>
      </w:r>
      <w:proofErr w:type="spellEnd"/>
      <w:r w:rsidRPr="00163E7C">
        <w:rPr>
          <w:rFonts w:cs="Arial"/>
          <w:sz w:val="22"/>
          <w:szCs w:val="22"/>
        </w:rPr>
        <w:t>, U. (2009) Addressing Offending by Women: A Literature Review.</w:t>
      </w:r>
      <w:proofErr w:type="gramEnd"/>
      <w:r w:rsidRPr="00163E7C">
        <w:rPr>
          <w:rFonts w:cs="Arial"/>
          <w:sz w:val="22"/>
          <w:szCs w:val="22"/>
        </w:rPr>
        <w:t xml:space="preserve">  Citing </w:t>
      </w:r>
      <w:proofErr w:type="spellStart"/>
      <w:r w:rsidRPr="00163E7C">
        <w:rPr>
          <w:rFonts w:cs="Arial"/>
          <w:sz w:val="22"/>
          <w:szCs w:val="22"/>
        </w:rPr>
        <w:t>Lobley</w:t>
      </w:r>
      <w:proofErr w:type="spellEnd"/>
      <w:r w:rsidRPr="00163E7C">
        <w:rPr>
          <w:rFonts w:cs="Arial"/>
          <w:sz w:val="22"/>
          <w:szCs w:val="22"/>
        </w:rPr>
        <w:t xml:space="preserve"> &amp; Smith (2000) </w:t>
      </w:r>
      <w:r w:rsidRPr="00163E7C">
        <w:rPr>
          <w:rFonts w:cs="Arial"/>
          <w:i/>
          <w:sz w:val="22"/>
          <w:szCs w:val="22"/>
        </w:rPr>
        <w:t xml:space="preserve">Op </w:t>
      </w:r>
      <w:proofErr w:type="gramStart"/>
      <w:r w:rsidRPr="00163E7C">
        <w:rPr>
          <w:rFonts w:cs="Arial"/>
          <w:i/>
          <w:sz w:val="22"/>
          <w:szCs w:val="22"/>
        </w:rPr>
        <w:t>cit.</w:t>
      </w:r>
      <w:r w:rsidRPr="00163E7C">
        <w:rPr>
          <w:rFonts w:cs="Arial"/>
          <w:sz w:val="22"/>
          <w:szCs w:val="22"/>
        </w:rPr>
        <w:t>.</w:t>
      </w:r>
      <w:proofErr w:type="gramEnd"/>
    </w:p>
  </w:endnote>
  <w:endnote w:id="33">
    <w:p w14:paraId="1ADF27F9"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ICPS (2008) International Profile of Women’s Prisons.</w:t>
      </w:r>
      <w:proofErr w:type="gramEnd"/>
      <w:r w:rsidRPr="00163E7C">
        <w:rPr>
          <w:rFonts w:cs="Arial"/>
          <w:sz w:val="22"/>
          <w:szCs w:val="22"/>
        </w:rPr>
        <w:t xml:space="preserve">  </w:t>
      </w:r>
      <w:proofErr w:type="gramStart"/>
      <w:r w:rsidRPr="00163E7C">
        <w:rPr>
          <w:rFonts w:cs="Arial"/>
          <w:i/>
          <w:sz w:val="22"/>
          <w:szCs w:val="22"/>
        </w:rPr>
        <w:t>op</w:t>
      </w:r>
      <w:proofErr w:type="gramEnd"/>
      <w:r w:rsidRPr="00163E7C">
        <w:rPr>
          <w:rFonts w:cs="Arial"/>
          <w:i/>
          <w:sz w:val="22"/>
          <w:szCs w:val="22"/>
        </w:rPr>
        <w:t xml:space="preserve"> cit.</w:t>
      </w:r>
    </w:p>
  </w:endnote>
  <w:endnote w:id="34">
    <w:p w14:paraId="7E0D3C1E"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Prison Reform Trust (PRT) (2013) International Good Practice. </w:t>
      </w:r>
      <w:proofErr w:type="gramStart"/>
      <w:r w:rsidRPr="00163E7C">
        <w:rPr>
          <w:rFonts w:cs="Arial"/>
          <w:i/>
          <w:sz w:val="22"/>
          <w:szCs w:val="22"/>
        </w:rPr>
        <w:t>op</w:t>
      </w:r>
      <w:proofErr w:type="gramEnd"/>
      <w:r w:rsidRPr="00163E7C">
        <w:rPr>
          <w:rFonts w:cs="Arial"/>
          <w:i/>
          <w:sz w:val="22"/>
          <w:szCs w:val="22"/>
        </w:rPr>
        <w:t xml:space="preserve"> cit.</w:t>
      </w:r>
    </w:p>
  </w:endnote>
  <w:endnote w:id="35">
    <w:p w14:paraId="5CC841BC" w14:textId="77777777" w:rsidR="00CD076F" w:rsidRPr="00163E7C" w:rsidRDefault="00CD076F" w:rsidP="00402D02">
      <w:pPr>
        <w:pStyle w:val="EndnoteText"/>
        <w:jc w:val="left"/>
        <w:rPr>
          <w:sz w:val="22"/>
          <w:szCs w:val="22"/>
        </w:rPr>
      </w:pPr>
      <w:r w:rsidRPr="00EB29FB">
        <w:rPr>
          <w:rStyle w:val="EndnoteReference"/>
          <w:sz w:val="22"/>
          <w:szCs w:val="22"/>
        </w:rPr>
        <w:endnoteRef/>
      </w:r>
      <w:r w:rsidRPr="00EB29FB">
        <w:rPr>
          <w:sz w:val="22"/>
          <w:szCs w:val="22"/>
        </w:rPr>
        <w:t xml:space="preserve"> </w:t>
      </w:r>
      <w:r w:rsidRPr="00163E7C">
        <w:rPr>
          <w:sz w:val="22"/>
          <w:szCs w:val="22"/>
        </w:rPr>
        <w:t xml:space="preserve">See Irish Prison Service (2014) Community Return: A Unique Opportunity. IPS: Ireland. URL: </w:t>
      </w:r>
      <w:hyperlink r:id="rId15" w:history="1">
        <w:r w:rsidRPr="00163E7C">
          <w:rPr>
            <w:rStyle w:val="Hyperlink"/>
            <w:sz w:val="22"/>
            <w:szCs w:val="22"/>
          </w:rPr>
          <w:t>http://www.justice.ie/en/JELR/Community_Return_Study_Report_v3_9.pdf/Files/Community_Return_Study_Report_v3_9.pdf</w:t>
        </w:r>
      </w:hyperlink>
      <w:r w:rsidRPr="00163E7C">
        <w:rPr>
          <w:sz w:val="22"/>
          <w:szCs w:val="22"/>
        </w:rPr>
        <w:t xml:space="preserve"> </w:t>
      </w:r>
    </w:p>
  </w:endnote>
  <w:endnote w:id="36">
    <w:p w14:paraId="098EA670" w14:textId="77777777" w:rsidR="00CD076F" w:rsidRPr="00163E7C" w:rsidRDefault="00CD076F" w:rsidP="00402D02">
      <w:pPr>
        <w:pStyle w:val="EndnoteText"/>
        <w:jc w:val="left"/>
        <w:rPr>
          <w:sz w:val="22"/>
          <w:szCs w:val="22"/>
        </w:rPr>
      </w:pPr>
      <w:r w:rsidRPr="00163E7C">
        <w:rPr>
          <w:rStyle w:val="EndnoteReference"/>
          <w:sz w:val="22"/>
          <w:szCs w:val="22"/>
        </w:rPr>
        <w:endnoteRef/>
      </w:r>
      <w:r w:rsidRPr="00163E7C">
        <w:rPr>
          <w:sz w:val="22"/>
          <w:szCs w:val="22"/>
        </w:rPr>
        <w:t xml:space="preserve"> See Andrew Coyle, former Director of ICPS opening remarks at a SCCCJ (Scottish Consortium for Crime and Criminal Justice) seminar 1 April 2015. URL: </w:t>
      </w:r>
      <w:hyperlink r:id="rId16" w:history="1">
        <w:r w:rsidRPr="00163E7C">
          <w:rPr>
            <w:rStyle w:val="Hyperlink"/>
            <w:sz w:val="22"/>
            <w:szCs w:val="22"/>
          </w:rPr>
          <w:t>http://scottishjusticematters.com/women-affected-criminal-justice-system-scotland-next/</w:t>
        </w:r>
      </w:hyperlink>
      <w:r w:rsidRPr="00163E7C">
        <w:rPr>
          <w:sz w:val="22"/>
          <w:szCs w:val="22"/>
        </w:rPr>
        <w:t xml:space="preserve"> </w:t>
      </w:r>
    </w:p>
  </w:endnote>
  <w:endnote w:id="37">
    <w:p w14:paraId="4093C1B2" w14:textId="77777777" w:rsidR="00CD076F" w:rsidRPr="00163E7C" w:rsidRDefault="00CD076F" w:rsidP="00402D02">
      <w:pPr>
        <w:pStyle w:val="EndnoteText"/>
        <w:jc w:val="left"/>
        <w:rPr>
          <w:sz w:val="22"/>
          <w:szCs w:val="22"/>
        </w:rPr>
      </w:pPr>
      <w:r w:rsidRPr="00163E7C">
        <w:rPr>
          <w:rStyle w:val="EndnoteReference"/>
          <w:sz w:val="22"/>
          <w:szCs w:val="22"/>
        </w:rPr>
        <w:endnoteRef/>
      </w:r>
      <w:r w:rsidRPr="00163E7C">
        <w:rPr>
          <w:sz w:val="22"/>
          <w:szCs w:val="22"/>
        </w:rPr>
        <w:t xml:space="preserve"> </w:t>
      </w:r>
      <w:proofErr w:type="gramStart"/>
      <w:r w:rsidRPr="00163E7C">
        <w:rPr>
          <w:sz w:val="22"/>
          <w:szCs w:val="22"/>
        </w:rPr>
        <w:t>Rogan (2013) Women in the criminal justice system.</w:t>
      </w:r>
      <w:proofErr w:type="gramEnd"/>
      <w:r w:rsidRPr="00163E7C">
        <w:rPr>
          <w:sz w:val="22"/>
          <w:szCs w:val="22"/>
        </w:rPr>
        <w:t xml:space="preserve">  </w:t>
      </w:r>
      <w:proofErr w:type="gramStart"/>
      <w:r w:rsidRPr="00163E7C">
        <w:rPr>
          <w:sz w:val="22"/>
          <w:szCs w:val="22"/>
        </w:rPr>
        <w:t>Presentation at an IPRT seminar 04/12/13.</w:t>
      </w:r>
      <w:proofErr w:type="gramEnd"/>
      <w:r w:rsidRPr="00163E7C">
        <w:rPr>
          <w:sz w:val="22"/>
          <w:szCs w:val="22"/>
        </w:rPr>
        <w:t xml:space="preserve"> URL: </w:t>
      </w:r>
      <w:hyperlink r:id="rId17" w:history="1">
        <w:r w:rsidRPr="00163E7C">
          <w:rPr>
            <w:rStyle w:val="Hyperlink"/>
            <w:sz w:val="22"/>
            <w:szCs w:val="22"/>
          </w:rPr>
          <w:t>http://www.iprt.ie/contents/2568</w:t>
        </w:r>
      </w:hyperlink>
      <w:r w:rsidRPr="00163E7C">
        <w:rPr>
          <w:sz w:val="22"/>
          <w:szCs w:val="22"/>
        </w:rPr>
        <w:t xml:space="preserve"> </w:t>
      </w:r>
    </w:p>
  </w:endnote>
  <w:endnote w:id="38">
    <w:p w14:paraId="7F7AAD8A" w14:textId="77777777" w:rsidR="00CD076F" w:rsidRPr="00163E7C" w:rsidRDefault="00CD076F" w:rsidP="00402D02">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spellStart"/>
      <w:r w:rsidRPr="00163E7C">
        <w:rPr>
          <w:rFonts w:cs="Arial"/>
          <w:sz w:val="22"/>
          <w:szCs w:val="22"/>
        </w:rPr>
        <w:t>Kates</w:t>
      </w:r>
      <w:proofErr w:type="spellEnd"/>
      <w:r w:rsidRPr="00163E7C">
        <w:rPr>
          <w:rFonts w:cs="Arial"/>
          <w:sz w:val="22"/>
          <w:szCs w:val="22"/>
        </w:rPr>
        <w:t xml:space="preserve"> (2010)</w:t>
      </w:r>
      <w:r w:rsidRPr="00163E7C">
        <w:rPr>
          <w:rFonts w:cs="Arial"/>
          <w:sz w:val="22"/>
          <w:szCs w:val="22"/>
          <w:lang w:eastAsia="en-GB"/>
        </w:rPr>
        <w:t xml:space="preserve"> cited in PRT (2013) </w:t>
      </w:r>
      <w:r w:rsidRPr="00163E7C">
        <w:rPr>
          <w:rFonts w:cs="Arial"/>
          <w:sz w:val="22"/>
          <w:szCs w:val="22"/>
        </w:rPr>
        <w:t>International Good Practice</w:t>
      </w:r>
      <w:r w:rsidRPr="00163E7C">
        <w:rPr>
          <w:rFonts w:cs="Arial"/>
          <w:sz w:val="22"/>
          <w:szCs w:val="22"/>
          <w:lang w:eastAsia="en-GB"/>
        </w:rPr>
        <w:t xml:space="preserve">. </w:t>
      </w:r>
      <w:r w:rsidRPr="00163E7C">
        <w:rPr>
          <w:rFonts w:cs="Arial"/>
          <w:i/>
          <w:sz w:val="22"/>
          <w:szCs w:val="22"/>
          <w:lang w:eastAsia="en-GB"/>
        </w:rPr>
        <w:t>op cit.</w:t>
      </w:r>
      <w:r w:rsidRPr="00163E7C">
        <w:rPr>
          <w:rFonts w:cs="Arial"/>
          <w:sz w:val="22"/>
          <w:szCs w:val="22"/>
        </w:rPr>
        <w:t xml:space="preserve"> p24</w:t>
      </w:r>
    </w:p>
  </w:endnote>
  <w:endnote w:id="39">
    <w:p w14:paraId="20608C35" w14:textId="77777777" w:rsidR="00CD076F" w:rsidRPr="00163E7C" w:rsidRDefault="00CD076F" w:rsidP="00402D02">
      <w:pPr>
        <w:pStyle w:val="EndnoteText"/>
        <w:jc w:val="left"/>
        <w:rPr>
          <w:sz w:val="22"/>
          <w:szCs w:val="22"/>
        </w:rPr>
      </w:pPr>
      <w:r w:rsidRPr="00163E7C">
        <w:rPr>
          <w:rStyle w:val="EndnoteReference"/>
          <w:sz w:val="22"/>
          <w:szCs w:val="22"/>
        </w:rPr>
        <w:endnoteRef/>
      </w:r>
      <w:r w:rsidRPr="00163E7C">
        <w:rPr>
          <w:sz w:val="22"/>
          <w:szCs w:val="22"/>
        </w:rPr>
        <w:t xml:space="preserve"> </w:t>
      </w:r>
      <w:proofErr w:type="gramStart"/>
      <w:r w:rsidRPr="00163E7C">
        <w:rPr>
          <w:sz w:val="22"/>
          <w:szCs w:val="22"/>
        </w:rPr>
        <w:t>Austin, J., Bloom, B. Donahue, T. (1992) Female Offenders in the Community: An Analysis of Innovative Programs.</w:t>
      </w:r>
      <w:proofErr w:type="gramEnd"/>
      <w:r w:rsidRPr="00163E7C">
        <w:rPr>
          <w:sz w:val="22"/>
          <w:szCs w:val="22"/>
        </w:rPr>
        <w:t xml:space="preserve"> National Council on Crime and Delinquency, San Francisco, CA. URL: </w:t>
      </w:r>
      <w:hyperlink r:id="rId18" w:history="1">
        <w:r w:rsidRPr="00163E7C">
          <w:rPr>
            <w:rStyle w:val="Hyperlink"/>
            <w:sz w:val="22"/>
            <w:szCs w:val="22"/>
          </w:rPr>
          <w:t>https://www.ncjrs.gov/pdffiles1/Digitization/142251NCJRS.pdf</w:t>
        </w:r>
      </w:hyperlink>
      <w:r w:rsidRPr="00163E7C">
        <w:rPr>
          <w:sz w:val="22"/>
          <w:szCs w:val="22"/>
        </w:rPr>
        <w:t xml:space="preserve"> </w:t>
      </w:r>
    </w:p>
  </w:endnote>
  <w:endnote w:id="40">
    <w:p w14:paraId="32EF9782" w14:textId="77777777" w:rsidR="00CD076F" w:rsidRPr="00163E7C" w:rsidRDefault="00CD076F" w:rsidP="008015D8">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spellStart"/>
      <w:r w:rsidRPr="00163E7C">
        <w:rPr>
          <w:rFonts w:cs="Arial"/>
          <w:sz w:val="22"/>
          <w:szCs w:val="22"/>
        </w:rPr>
        <w:t>Gelsthorpe</w:t>
      </w:r>
      <w:proofErr w:type="spellEnd"/>
      <w:r w:rsidRPr="00163E7C">
        <w:rPr>
          <w:rFonts w:cs="Arial"/>
          <w:sz w:val="22"/>
          <w:szCs w:val="22"/>
        </w:rPr>
        <w:t xml:space="preserve"> (2011) cited in PRT (2013) International Good Practice. </w:t>
      </w:r>
      <w:proofErr w:type="gramStart"/>
      <w:r w:rsidRPr="00163E7C">
        <w:rPr>
          <w:rFonts w:cs="Arial"/>
          <w:sz w:val="22"/>
          <w:szCs w:val="22"/>
        </w:rPr>
        <w:t>o</w:t>
      </w:r>
      <w:r w:rsidRPr="00163E7C">
        <w:rPr>
          <w:rFonts w:cs="Arial"/>
          <w:i/>
          <w:sz w:val="22"/>
          <w:szCs w:val="22"/>
        </w:rPr>
        <w:t>p</w:t>
      </w:r>
      <w:proofErr w:type="gramEnd"/>
      <w:r w:rsidRPr="00163E7C">
        <w:rPr>
          <w:rFonts w:cs="Arial"/>
          <w:i/>
          <w:sz w:val="22"/>
          <w:szCs w:val="22"/>
        </w:rPr>
        <w:t xml:space="preserve"> cit.</w:t>
      </w:r>
    </w:p>
  </w:endnote>
  <w:endnote w:id="41">
    <w:p w14:paraId="2C94304B"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Bartels &amp; Gaffney (2011) </w:t>
      </w:r>
      <w:r w:rsidRPr="00163E7C">
        <w:rPr>
          <w:rFonts w:cs="Arial"/>
          <w:i/>
          <w:sz w:val="22"/>
          <w:szCs w:val="22"/>
        </w:rPr>
        <w:t xml:space="preserve">Op </w:t>
      </w:r>
      <w:proofErr w:type="gramStart"/>
      <w:r w:rsidRPr="00163E7C">
        <w:rPr>
          <w:rFonts w:cs="Arial"/>
          <w:i/>
          <w:sz w:val="22"/>
          <w:szCs w:val="22"/>
        </w:rPr>
        <w:t>cit.</w:t>
      </w:r>
      <w:r w:rsidRPr="00163E7C">
        <w:rPr>
          <w:rFonts w:cs="Arial"/>
          <w:sz w:val="22"/>
          <w:szCs w:val="22"/>
        </w:rPr>
        <w:t>.</w:t>
      </w:r>
      <w:proofErr w:type="gramEnd"/>
    </w:p>
  </w:endnote>
  <w:endnote w:id="42">
    <w:p w14:paraId="4C0D6D76"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Prison Reform Trust (PRT) (2013) International Good Practice. </w:t>
      </w:r>
      <w:r w:rsidRPr="00163E7C">
        <w:rPr>
          <w:rFonts w:cs="Arial"/>
          <w:i/>
          <w:sz w:val="22"/>
          <w:szCs w:val="22"/>
        </w:rPr>
        <w:t>op cit.</w:t>
      </w:r>
      <w:r w:rsidRPr="00163E7C">
        <w:rPr>
          <w:rFonts w:cs="Arial"/>
          <w:sz w:val="22"/>
          <w:szCs w:val="22"/>
        </w:rPr>
        <w:t xml:space="preserve"> p29</w:t>
      </w:r>
    </w:p>
  </w:endnote>
  <w:endnote w:id="43">
    <w:p w14:paraId="3A2D14E5"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 p49</w:t>
      </w:r>
    </w:p>
  </w:endnote>
  <w:endnote w:id="44">
    <w:p w14:paraId="6E87648A"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r w:rsidRPr="00163E7C">
        <w:rPr>
          <w:rFonts w:cs="Arial"/>
          <w:sz w:val="22"/>
          <w:szCs w:val="22"/>
          <w:lang w:eastAsia="en-GB"/>
        </w:rPr>
        <w:t xml:space="preserve">Correctional Service of Canada (2008) cited in </w:t>
      </w:r>
      <w:r w:rsidRPr="00163E7C">
        <w:rPr>
          <w:rFonts w:cs="Arial"/>
          <w:sz w:val="22"/>
          <w:szCs w:val="22"/>
        </w:rPr>
        <w:t xml:space="preserve">Prison Reform Trust (PRT) (2013) International Good Practice. </w:t>
      </w:r>
      <w:proofErr w:type="gramStart"/>
      <w:r w:rsidRPr="00163E7C">
        <w:rPr>
          <w:rFonts w:cs="Arial"/>
          <w:i/>
          <w:sz w:val="22"/>
          <w:szCs w:val="22"/>
        </w:rPr>
        <w:t>op</w:t>
      </w:r>
      <w:proofErr w:type="gramEnd"/>
      <w:r w:rsidRPr="00163E7C">
        <w:rPr>
          <w:rFonts w:cs="Arial"/>
          <w:i/>
          <w:sz w:val="22"/>
          <w:szCs w:val="22"/>
        </w:rPr>
        <w:t xml:space="preserve"> cit.</w:t>
      </w:r>
    </w:p>
  </w:endnote>
  <w:endnote w:id="45">
    <w:p w14:paraId="5B28E9AF"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Prison Reform Trust (PRT) (2013) International Good Practice. </w:t>
      </w:r>
      <w:r w:rsidRPr="00163E7C">
        <w:rPr>
          <w:rFonts w:cs="Arial"/>
          <w:i/>
          <w:sz w:val="22"/>
          <w:szCs w:val="22"/>
        </w:rPr>
        <w:t>op cit.</w:t>
      </w:r>
      <w:r w:rsidRPr="00163E7C">
        <w:rPr>
          <w:rFonts w:cs="Arial"/>
          <w:sz w:val="22"/>
          <w:szCs w:val="22"/>
        </w:rPr>
        <w:t xml:space="preserve"> p28 </w:t>
      </w:r>
    </w:p>
  </w:endnote>
  <w:endnote w:id="46">
    <w:p w14:paraId="4B99B99D"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See URL: </w:t>
      </w:r>
      <w:hyperlink r:id="rId19" w:history="1">
        <w:r w:rsidRPr="00163E7C">
          <w:rPr>
            <w:rStyle w:val="Hyperlink"/>
            <w:rFonts w:cs="Arial"/>
            <w:sz w:val="22"/>
            <w:szCs w:val="22"/>
          </w:rPr>
          <w:t>http://www.greenhope.org/about/kandake_house.shtml</w:t>
        </w:r>
      </w:hyperlink>
      <w:r w:rsidRPr="00163E7C">
        <w:rPr>
          <w:rFonts w:cs="Arial"/>
          <w:sz w:val="22"/>
          <w:szCs w:val="22"/>
        </w:rPr>
        <w:t xml:space="preserve"> </w:t>
      </w:r>
    </w:p>
  </w:endnote>
  <w:endnote w:id="47">
    <w:p w14:paraId="63728A1C"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Prison Reform Trust (PRT) (2013) International Good Practice. </w:t>
      </w:r>
      <w:proofErr w:type="gramStart"/>
      <w:r w:rsidRPr="00163E7C">
        <w:rPr>
          <w:rFonts w:cs="Arial"/>
          <w:i/>
          <w:sz w:val="22"/>
          <w:szCs w:val="22"/>
        </w:rPr>
        <w:t>op</w:t>
      </w:r>
      <w:proofErr w:type="gramEnd"/>
      <w:r w:rsidRPr="00163E7C">
        <w:rPr>
          <w:rFonts w:cs="Arial"/>
          <w:i/>
          <w:sz w:val="22"/>
          <w:szCs w:val="22"/>
        </w:rPr>
        <w:t xml:space="preserve"> cit.</w:t>
      </w:r>
      <w:r w:rsidRPr="00163E7C">
        <w:rPr>
          <w:rFonts w:cs="Arial"/>
          <w:sz w:val="22"/>
          <w:szCs w:val="22"/>
        </w:rPr>
        <w:t xml:space="preserve">  p26 </w:t>
      </w:r>
    </w:p>
  </w:endnote>
  <w:endnote w:id="48">
    <w:p w14:paraId="3C29385A"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Prison Reform Trust (PRT) (2014) Transforming Lives: reducing women’s imprisonment. </w:t>
      </w:r>
      <w:proofErr w:type="gramStart"/>
      <w:r w:rsidRPr="00163E7C">
        <w:rPr>
          <w:rFonts w:cs="Arial"/>
          <w:i/>
          <w:sz w:val="22"/>
          <w:szCs w:val="22"/>
        </w:rPr>
        <w:t>op</w:t>
      </w:r>
      <w:proofErr w:type="gramEnd"/>
      <w:r w:rsidRPr="00163E7C">
        <w:rPr>
          <w:rFonts w:cs="Arial"/>
          <w:i/>
          <w:sz w:val="22"/>
          <w:szCs w:val="22"/>
        </w:rPr>
        <w:t xml:space="preserve"> cit.</w:t>
      </w:r>
    </w:p>
  </w:endnote>
  <w:endnote w:id="49">
    <w:p w14:paraId="1463A8EB" w14:textId="77777777" w:rsidR="00CD076F" w:rsidRPr="00163E7C" w:rsidRDefault="00CD076F" w:rsidP="00D41C68">
      <w:pPr>
        <w:pStyle w:val="EndnoteText"/>
        <w:jc w:val="left"/>
        <w:rPr>
          <w:sz w:val="22"/>
          <w:szCs w:val="22"/>
        </w:rPr>
      </w:pPr>
      <w:r w:rsidRPr="00163E7C">
        <w:rPr>
          <w:rStyle w:val="EndnoteReference"/>
          <w:sz w:val="22"/>
          <w:szCs w:val="22"/>
        </w:rPr>
        <w:endnoteRef/>
      </w:r>
      <w:r w:rsidRPr="00163E7C">
        <w:rPr>
          <w:sz w:val="22"/>
          <w:szCs w:val="22"/>
        </w:rPr>
        <w:t xml:space="preserve"> The Home Office (2007) The </w:t>
      </w:r>
      <w:proofErr w:type="spellStart"/>
      <w:r w:rsidRPr="00163E7C">
        <w:rPr>
          <w:sz w:val="22"/>
          <w:szCs w:val="22"/>
        </w:rPr>
        <w:t>Corston</w:t>
      </w:r>
      <w:proofErr w:type="spellEnd"/>
      <w:r w:rsidRPr="00163E7C">
        <w:rPr>
          <w:sz w:val="22"/>
          <w:szCs w:val="22"/>
        </w:rPr>
        <w:t xml:space="preserve"> Report. URL:  </w:t>
      </w:r>
      <w:hyperlink r:id="rId20" w:history="1">
        <w:r w:rsidRPr="00163E7C">
          <w:rPr>
            <w:rStyle w:val="Hyperlink"/>
            <w:sz w:val="22"/>
            <w:szCs w:val="22"/>
          </w:rPr>
          <w:t>http://www.justice.gov.uk/publications/docs/corston-report-march-2007.pdf</w:t>
        </w:r>
      </w:hyperlink>
      <w:r w:rsidRPr="00163E7C">
        <w:rPr>
          <w:sz w:val="22"/>
          <w:szCs w:val="22"/>
        </w:rPr>
        <w:t xml:space="preserve"> </w:t>
      </w:r>
    </w:p>
  </w:endnote>
  <w:endnote w:id="50">
    <w:p w14:paraId="4E53F924" w14:textId="77777777" w:rsidR="00CD076F" w:rsidRPr="00163E7C" w:rsidRDefault="00CD076F" w:rsidP="00D41C68">
      <w:pPr>
        <w:pStyle w:val="EndnoteText"/>
        <w:rPr>
          <w:rFonts w:cs="Arial"/>
          <w:sz w:val="22"/>
          <w:szCs w:val="22"/>
        </w:rPr>
      </w:pPr>
      <w:r w:rsidRPr="00EB29FB">
        <w:rPr>
          <w:rStyle w:val="EndnoteReference"/>
          <w:sz w:val="22"/>
          <w:szCs w:val="22"/>
        </w:rPr>
        <w:endnoteRef/>
      </w:r>
      <w:r w:rsidRPr="00EB29FB">
        <w:rPr>
          <w:sz w:val="22"/>
          <w:szCs w:val="22"/>
        </w:rPr>
        <w:t xml:space="preserve"> </w:t>
      </w:r>
      <w:r w:rsidRPr="00163E7C">
        <w:rPr>
          <w:rFonts w:cs="Arial"/>
          <w:sz w:val="22"/>
          <w:szCs w:val="22"/>
        </w:rPr>
        <w:t xml:space="preserve">Prison Reform Trust (PRT) (2014) Transforming Lives: reducing women’s imprisonment. </w:t>
      </w:r>
      <w:proofErr w:type="gramStart"/>
      <w:r w:rsidRPr="00163E7C">
        <w:rPr>
          <w:rFonts w:cs="Arial"/>
          <w:i/>
          <w:sz w:val="22"/>
          <w:szCs w:val="22"/>
        </w:rPr>
        <w:t>op</w:t>
      </w:r>
      <w:proofErr w:type="gramEnd"/>
      <w:r w:rsidRPr="00163E7C">
        <w:rPr>
          <w:rFonts w:cs="Arial"/>
          <w:i/>
          <w:sz w:val="22"/>
          <w:szCs w:val="22"/>
        </w:rPr>
        <w:t xml:space="preserve"> cit.</w:t>
      </w:r>
    </w:p>
  </w:endnote>
  <w:endnote w:id="51">
    <w:p w14:paraId="0689B5A5"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Pratt, J. (2007) Scandinavian </w:t>
      </w:r>
      <w:proofErr w:type="spellStart"/>
      <w:r w:rsidRPr="00163E7C">
        <w:rPr>
          <w:rFonts w:cs="Arial"/>
          <w:sz w:val="22"/>
          <w:szCs w:val="22"/>
        </w:rPr>
        <w:t>Exceptionalism</w:t>
      </w:r>
      <w:proofErr w:type="spellEnd"/>
      <w:r w:rsidRPr="00163E7C">
        <w:rPr>
          <w:rFonts w:cs="Arial"/>
          <w:sz w:val="22"/>
          <w:szCs w:val="22"/>
        </w:rPr>
        <w:t xml:space="preserve"> in an Era of Penal Excess. Part 1: The Nature and Roots of Scandinavian </w:t>
      </w:r>
      <w:proofErr w:type="spellStart"/>
      <w:r w:rsidRPr="00163E7C">
        <w:rPr>
          <w:rFonts w:cs="Arial"/>
          <w:sz w:val="22"/>
          <w:szCs w:val="22"/>
        </w:rPr>
        <w:t>Exceptionalism</w:t>
      </w:r>
      <w:proofErr w:type="spellEnd"/>
      <w:r w:rsidRPr="00163E7C">
        <w:rPr>
          <w:rFonts w:cs="Arial"/>
          <w:sz w:val="22"/>
          <w:szCs w:val="22"/>
        </w:rPr>
        <w:t xml:space="preserve">, British Journal of Criminology 48: 119-137. </w:t>
      </w:r>
    </w:p>
  </w:endnote>
  <w:endnote w:id="52">
    <w:p w14:paraId="6C0A2D11"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spellStart"/>
      <w:proofErr w:type="gramStart"/>
      <w:r w:rsidRPr="00163E7C">
        <w:rPr>
          <w:rFonts w:cs="Arial"/>
          <w:sz w:val="22"/>
          <w:szCs w:val="22"/>
        </w:rPr>
        <w:t>Walmsley</w:t>
      </w:r>
      <w:proofErr w:type="spellEnd"/>
      <w:r w:rsidRPr="00163E7C">
        <w:rPr>
          <w:rFonts w:cs="Arial"/>
          <w:sz w:val="22"/>
          <w:szCs w:val="22"/>
        </w:rPr>
        <w:t>, R. (2012) World Female Imprisonment List (second edition) International Centre for Prison Studies.</w:t>
      </w:r>
      <w:proofErr w:type="gramEnd"/>
      <w:r w:rsidRPr="00163E7C">
        <w:rPr>
          <w:rFonts w:cs="Arial"/>
          <w:sz w:val="22"/>
          <w:szCs w:val="22"/>
        </w:rPr>
        <w:t xml:space="preserve">  URL: </w:t>
      </w:r>
      <w:hyperlink r:id="rId21" w:history="1">
        <w:r w:rsidRPr="00163E7C">
          <w:rPr>
            <w:rStyle w:val="Hyperlink"/>
            <w:rFonts w:cs="Arial"/>
            <w:sz w:val="22"/>
            <w:szCs w:val="22"/>
          </w:rPr>
          <w:t>http://www.prisonstudies.org/sites/prisonstudies.org/files/resources/downloads/wfil_2nd_edition.pdf</w:t>
        </w:r>
      </w:hyperlink>
      <w:r w:rsidRPr="00163E7C">
        <w:rPr>
          <w:rFonts w:cs="Arial"/>
          <w:sz w:val="22"/>
          <w:szCs w:val="22"/>
        </w:rPr>
        <w:t xml:space="preserve"> </w:t>
      </w:r>
    </w:p>
  </w:endnote>
  <w:endnote w:id="53">
    <w:p w14:paraId="5D6FD2DF"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ICPS (2008) International Profile of Women’s Prisons.</w:t>
      </w:r>
      <w:proofErr w:type="gramEnd"/>
      <w:r w:rsidRPr="00163E7C">
        <w:rPr>
          <w:rFonts w:cs="Arial"/>
          <w:sz w:val="22"/>
          <w:szCs w:val="22"/>
        </w:rPr>
        <w:t xml:space="preserve">  </w:t>
      </w:r>
      <w:r w:rsidRPr="00163E7C">
        <w:rPr>
          <w:rFonts w:cs="Arial"/>
          <w:i/>
          <w:sz w:val="22"/>
          <w:szCs w:val="22"/>
        </w:rPr>
        <w:t>op cit.</w:t>
      </w:r>
      <w:r w:rsidRPr="00163E7C">
        <w:rPr>
          <w:rFonts w:cs="Arial"/>
          <w:sz w:val="22"/>
          <w:szCs w:val="22"/>
        </w:rPr>
        <w:t xml:space="preserve"> p117</w:t>
      </w:r>
    </w:p>
  </w:endnote>
  <w:endnote w:id="54">
    <w:p w14:paraId="25F98BDB"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Prison Reform Trust (PRT) (2013) International Good Practice. </w:t>
      </w:r>
      <w:proofErr w:type="gramStart"/>
      <w:r w:rsidRPr="00163E7C">
        <w:rPr>
          <w:rFonts w:cs="Arial"/>
          <w:i/>
          <w:sz w:val="22"/>
          <w:szCs w:val="22"/>
        </w:rPr>
        <w:t>op</w:t>
      </w:r>
      <w:proofErr w:type="gramEnd"/>
      <w:r w:rsidRPr="00163E7C">
        <w:rPr>
          <w:rFonts w:cs="Arial"/>
          <w:i/>
          <w:sz w:val="22"/>
          <w:szCs w:val="22"/>
        </w:rPr>
        <w:t xml:space="preserve"> cit.</w:t>
      </w:r>
      <w:r w:rsidRPr="00163E7C">
        <w:rPr>
          <w:rFonts w:cs="Arial"/>
          <w:sz w:val="22"/>
          <w:szCs w:val="22"/>
        </w:rPr>
        <w:t>.</w:t>
      </w:r>
    </w:p>
  </w:endnote>
  <w:endnote w:id="55">
    <w:p w14:paraId="7177180A"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Women in Prison (2012) &amp; van Wormer (2010) cited in PRT (2013) International Good Practice </w:t>
      </w:r>
      <w:r w:rsidRPr="00163E7C">
        <w:rPr>
          <w:rFonts w:cs="Arial"/>
          <w:i/>
          <w:sz w:val="22"/>
          <w:szCs w:val="22"/>
        </w:rPr>
        <w:t>op cit.</w:t>
      </w:r>
    </w:p>
  </w:endnote>
  <w:endnote w:id="56">
    <w:p w14:paraId="00E21C6A" w14:textId="77777777" w:rsidR="00CD076F" w:rsidRPr="00EB29FB" w:rsidRDefault="00CD076F" w:rsidP="007B72A6">
      <w:pPr>
        <w:pStyle w:val="EndnoteText"/>
        <w:jc w:val="left"/>
        <w:rPr>
          <w:sz w:val="22"/>
          <w:szCs w:val="22"/>
        </w:rPr>
      </w:pPr>
      <w:r w:rsidRPr="00EB29FB">
        <w:rPr>
          <w:rStyle w:val="EndnoteReference"/>
          <w:sz w:val="22"/>
          <w:szCs w:val="22"/>
        </w:rPr>
        <w:endnoteRef/>
      </w:r>
      <w:r w:rsidRPr="00EB29FB">
        <w:rPr>
          <w:sz w:val="22"/>
          <w:szCs w:val="22"/>
        </w:rPr>
        <w:t xml:space="preserve"> </w:t>
      </w:r>
      <w:r w:rsidRPr="00163E7C">
        <w:rPr>
          <w:rFonts w:cs="Arial"/>
          <w:sz w:val="22"/>
          <w:szCs w:val="22"/>
        </w:rPr>
        <w:t xml:space="preserve">Prison Reform Trust (PRT) (2014) Transforming Lives: reducing women’s imprisonment. </w:t>
      </w:r>
      <w:proofErr w:type="gramStart"/>
      <w:r w:rsidRPr="00163E7C">
        <w:rPr>
          <w:rFonts w:cs="Arial"/>
          <w:i/>
          <w:sz w:val="22"/>
          <w:szCs w:val="22"/>
        </w:rPr>
        <w:t>op</w:t>
      </w:r>
      <w:proofErr w:type="gramEnd"/>
      <w:r w:rsidRPr="00163E7C">
        <w:rPr>
          <w:rFonts w:cs="Arial"/>
          <w:i/>
          <w:sz w:val="22"/>
          <w:szCs w:val="22"/>
        </w:rPr>
        <w:t xml:space="preserve"> cit.</w:t>
      </w:r>
    </w:p>
  </w:endnote>
  <w:endnote w:id="57">
    <w:p w14:paraId="7D68CDD2" w14:textId="77777777" w:rsidR="00CD076F" w:rsidRPr="00EB29FB" w:rsidRDefault="00CD076F">
      <w:pPr>
        <w:pStyle w:val="EndnoteText"/>
        <w:rPr>
          <w:sz w:val="22"/>
          <w:szCs w:val="22"/>
        </w:rPr>
      </w:pPr>
      <w:r w:rsidRPr="00EB29FB">
        <w:rPr>
          <w:rStyle w:val="EndnoteReference"/>
          <w:sz w:val="22"/>
          <w:szCs w:val="22"/>
        </w:rPr>
        <w:endnoteRef/>
      </w:r>
      <w:r w:rsidRPr="00EB29FB">
        <w:rPr>
          <w:sz w:val="22"/>
          <w:szCs w:val="22"/>
        </w:rPr>
        <w:t xml:space="preserve"> </w:t>
      </w:r>
      <w:r w:rsidRPr="00163E7C">
        <w:rPr>
          <w:sz w:val="22"/>
          <w:szCs w:val="22"/>
        </w:rPr>
        <w:t>Ibid. citing NOMS (2013) Women’s Custodial Estate Review</w:t>
      </w:r>
      <w:r w:rsidRPr="00EB29FB">
        <w:rPr>
          <w:sz w:val="22"/>
          <w:szCs w:val="22"/>
        </w:rPr>
        <w:t xml:space="preserve"> </w:t>
      </w:r>
    </w:p>
  </w:endnote>
  <w:endnote w:id="58">
    <w:p w14:paraId="38ACDDCA"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 xml:space="preserve">Bartels &amp; Gaffney (2011) </w:t>
      </w:r>
      <w:r w:rsidRPr="00163E7C">
        <w:rPr>
          <w:rFonts w:cs="Arial"/>
          <w:i/>
          <w:sz w:val="22"/>
          <w:szCs w:val="22"/>
        </w:rPr>
        <w:t>op cit.</w:t>
      </w:r>
      <w:proofErr w:type="gramEnd"/>
    </w:p>
  </w:endnote>
  <w:endnote w:id="59">
    <w:p w14:paraId="5AC54DFF"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Briggs, S. &amp; Taylor, K. (2012) What Works With Women Offenders in the Community in Canada: Research and Best </w:t>
      </w:r>
      <w:proofErr w:type="gramStart"/>
      <w:r w:rsidRPr="00163E7C">
        <w:rPr>
          <w:rFonts w:cs="Arial"/>
          <w:sz w:val="22"/>
          <w:szCs w:val="22"/>
        </w:rPr>
        <w:t>Practices.</w:t>
      </w:r>
      <w:proofErr w:type="gramEnd"/>
      <w:r w:rsidRPr="00163E7C">
        <w:rPr>
          <w:rFonts w:cs="Arial"/>
          <w:sz w:val="22"/>
          <w:szCs w:val="22"/>
        </w:rPr>
        <w:t xml:space="preserve"> Journal of Community Corrections, 5:15.</w:t>
      </w:r>
    </w:p>
  </w:endnote>
  <w:endnote w:id="60">
    <w:p w14:paraId="5E4E11A4"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spellStart"/>
      <w:r w:rsidRPr="00163E7C">
        <w:rPr>
          <w:rFonts w:cs="Arial"/>
          <w:sz w:val="22"/>
          <w:szCs w:val="22"/>
        </w:rPr>
        <w:t>Bartel</w:t>
      </w:r>
      <w:proofErr w:type="spellEnd"/>
      <w:r w:rsidRPr="00163E7C">
        <w:rPr>
          <w:rFonts w:cs="Arial"/>
          <w:sz w:val="22"/>
          <w:szCs w:val="22"/>
        </w:rPr>
        <w:t xml:space="preserve"> &amp; Gaffney (2011) </w:t>
      </w:r>
      <w:r w:rsidRPr="00163E7C">
        <w:rPr>
          <w:rFonts w:cs="Arial"/>
          <w:i/>
          <w:sz w:val="22"/>
          <w:szCs w:val="22"/>
        </w:rPr>
        <w:t>Op cit.</w:t>
      </w:r>
      <w:r w:rsidRPr="00163E7C">
        <w:rPr>
          <w:rFonts w:cs="Arial"/>
          <w:sz w:val="22"/>
          <w:szCs w:val="22"/>
        </w:rPr>
        <w:t xml:space="preserve">, citing Watson (2001) </w:t>
      </w:r>
    </w:p>
  </w:endnote>
  <w:endnote w:id="61">
    <w:p w14:paraId="7407B0E5"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ICPS (2008) International Profile of Women’s Prisons.</w:t>
      </w:r>
      <w:proofErr w:type="gramEnd"/>
      <w:r w:rsidRPr="00163E7C">
        <w:rPr>
          <w:rFonts w:cs="Arial"/>
          <w:sz w:val="22"/>
          <w:szCs w:val="22"/>
        </w:rPr>
        <w:t xml:space="preserve">  </w:t>
      </w:r>
      <w:proofErr w:type="gramStart"/>
      <w:r w:rsidRPr="00163E7C">
        <w:rPr>
          <w:rFonts w:cs="Arial"/>
          <w:i/>
          <w:sz w:val="22"/>
          <w:szCs w:val="22"/>
        </w:rPr>
        <w:t>op</w:t>
      </w:r>
      <w:proofErr w:type="gramEnd"/>
      <w:r w:rsidRPr="00163E7C">
        <w:rPr>
          <w:rFonts w:cs="Arial"/>
          <w:i/>
          <w:sz w:val="22"/>
          <w:szCs w:val="22"/>
        </w:rPr>
        <w:t xml:space="preserve"> cit.</w:t>
      </w:r>
      <w:r w:rsidRPr="00163E7C">
        <w:rPr>
          <w:rFonts w:cs="Arial"/>
          <w:sz w:val="22"/>
          <w:szCs w:val="22"/>
        </w:rPr>
        <w:t xml:space="preserve"> </w:t>
      </w:r>
    </w:p>
  </w:endnote>
  <w:endnote w:id="62">
    <w:p w14:paraId="661A25BE"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Correctional Service Canada (CSC) (2006) Ten-Year Status Report on Women’s Corrections 1996-2006. URL: </w:t>
      </w:r>
      <w:hyperlink r:id="rId22" w:history="1">
        <w:r w:rsidRPr="00163E7C">
          <w:rPr>
            <w:rStyle w:val="Hyperlink"/>
            <w:rFonts w:cs="Arial"/>
            <w:sz w:val="22"/>
            <w:szCs w:val="22"/>
          </w:rPr>
          <w:t>http://www.csc-scc.gc.ca/publications/fsw/wos24/index-eng.shtml</w:t>
        </w:r>
      </w:hyperlink>
      <w:r w:rsidRPr="00163E7C">
        <w:rPr>
          <w:rFonts w:cs="Arial"/>
          <w:sz w:val="22"/>
          <w:szCs w:val="22"/>
        </w:rPr>
        <w:t xml:space="preserve"> </w:t>
      </w:r>
    </w:p>
  </w:endnote>
  <w:endnote w:id="63">
    <w:p w14:paraId="1426E13D"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Fair, H. (2009</w:t>
      </w:r>
      <w:proofErr w:type="gramStart"/>
      <w:r w:rsidRPr="00163E7C">
        <w:rPr>
          <w:rFonts w:cs="Arial"/>
          <w:sz w:val="22"/>
          <w:szCs w:val="22"/>
        </w:rPr>
        <w:t>) )</w:t>
      </w:r>
      <w:proofErr w:type="gramEnd"/>
      <w:r w:rsidRPr="00163E7C">
        <w:rPr>
          <w:rFonts w:cs="Arial"/>
          <w:sz w:val="22"/>
          <w:szCs w:val="22"/>
        </w:rPr>
        <w:t xml:space="preserve"> International review of women’s prisons. </w:t>
      </w:r>
      <w:proofErr w:type="gramStart"/>
      <w:r w:rsidRPr="00163E7C">
        <w:rPr>
          <w:rFonts w:cs="Arial"/>
          <w:i/>
          <w:sz w:val="22"/>
          <w:szCs w:val="22"/>
        </w:rPr>
        <w:t>op</w:t>
      </w:r>
      <w:proofErr w:type="gramEnd"/>
      <w:r w:rsidRPr="00163E7C">
        <w:rPr>
          <w:rFonts w:cs="Arial"/>
          <w:i/>
          <w:sz w:val="22"/>
          <w:szCs w:val="22"/>
        </w:rPr>
        <w:t xml:space="preserve"> cit.</w:t>
      </w:r>
    </w:p>
  </w:endnote>
  <w:endnote w:id="64">
    <w:p w14:paraId="329B9443"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Government of Canada.</w:t>
      </w:r>
      <w:proofErr w:type="gramEnd"/>
      <w:r w:rsidRPr="00163E7C">
        <w:rPr>
          <w:rFonts w:cs="Arial"/>
          <w:sz w:val="22"/>
          <w:szCs w:val="22"/>
        </w:rPr>
        <w:t xml:space="preserve">  Women’s Facilities. URL: </w:t>
      </w:r>
      <w:hyperlink r:id="rId23" w:history="1">
        <w:r w:rsidRPr="00163E7C">
          <w:rPr>
            <w:rStyle w:val="Hyperlink"/>
            <w:rFonts w:cs="Arial"/>
            <w:sz w:val="22"/>
            <w:szCs w:val="22"/>
          </w:rPr>
          <w:t>http://www.csc-scc.gc.ca/women/002002-0002-eng.shtml</w:t>
        </w:r>
      </w:hyperlink>
    </w:p>
  </w:endnote>
  <w:endnote w:id="65">
    <w:p w14:paraId="1593A389"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Government of Canada.</w:t>
      </w:r>
      <w:proofErr w:type="gramEnd"/>
      <w:r w:rsidRPr="00163E7C">
        <w:rPr>
          <w:rFonts w:cs="Arial"/>
          <w:sz w:val="22"/>
          <w:szCs w:val="22"/>
        </w:rPr>
        <w:t xml:space="preserve"> </w:t>
      </w:r>
      <w:proofErr w:type="gramStart"/>
      <w:r w:rsidRPr="00163E7C">
        <w:rPr>
          <w:rFonts w:cs="Arial"/>
          <w:sz w:val="22"/>
          <w:szCs w:val="22"/>
        </w:rPr>
        <w:t>Correctional Service of Canada.</w:t>
      </w:r>
      <w:proofErr w:type="gramEnd"/>
      <w:r w:rsidRPr="00163E7C">
        <w:rPr>
          <w:rFonts w:cs="Arial"/>
          <w:sz w:val="22"/>
          <w:szCs w:val="22"/>
        </w:rPr>
        <w:t xml:space="preserve"> Nova Institution for Women URL: </w:t>
      </w:r>
      <w:hyperlink r:id="rId24" w:history="1">
        <w:r w:rsidRPr="00163E7C">
          <w:rPr>
            <w:rStyle w:val="Hyperlink"/>
            <w:rFonts w:cs="Arial"/>
            <w:sz w:val="22"/>
            <w:szCs w:val="22"/>
          </w:rPr>
          <w:t>http://www.csc-scc.gc.ca/institutions/001002-1003-eng.shtml</w:t>
        </w:r>
      </w:hyperlink>
    </w:p>
  </w:endnote>
  <w:endnote w:id="66">
    <w:p w14:paraId="5BF58666"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Government of Canada.</w:t>
      </w:r>
      <w:proofErr w:type="gramEnd"/>
      <w:r w:rsidRPr="00163E7C">
        <w:rPr>
          <w:rFonts w:cs="Arial"/>
          <w:sz w:val="22"/>
          <w:szCs w:val="22"/>
        </w:rPr>
        <w:t xml:space="preserve"> </w:t>
      </w:r>
      <w:proofErr w:type="gramStart"/>
      <w:r w:rsidRPr="00163E7C">
        <w:rPr>
          <w:rFonts w:cs="Arial"/>
          <w:sz w:val="22"/>
          <w:szCs w:val="22"/>
        </w:rPr>
        <w:t>Correctional Service of Canada.</w:t>
      </w:r>
      <w:proofErr w:type="gramEnd"/>
      <w:r w:rsidRPr="00163E7C">
        <w:rPr>
          <w:rFonts w:cs="Arial"/>
          <w:sz w:val="22"/>
          <w:szCs w:val="22"/>
        </w:rPr>
        <w:t xml:space="preserve"> </w:t>
      </w:r>
      <w:proofErr w:type="gramStart"/>
      <w:r w:rsidRPr="00163E7C">
        <w:rPr>
          <w:rFonts w:cs="Arial"/>
          <w:sz w:val="22"/>
          <w:szCs w:val="22"/>
        </w:rPr>
        <w:t>Grand Valley Institution for Women.</w:t>
      </w:r>
      <w:proofErr w:type="gramEnd"/>
      <w:r w:rsidRPr="00163E7C">
        <w:rPr>
          <w:rFonts w:cs="Arial"/>
          <w:sz w:val="22"/>
          <w:szCs w:val="22"/>
        </w:rPr>
        <w:t xml:space="preserve"> URL: </w:t>
      </w:r>
      <w:hyperlink r:id="rId25" w:history="1">
        <w:r w:rsidRPr="00163E7C">
          <w:rPr>
            <w:rStyle w:val="Hyperlink"/>
            <w:rFonts w:cs="Arial"/>
            <w:sz w:val="22"/>
            <w:szCs w:val="22"/>
          </w:rPr>
          <w:t>http://www.csc-scc.gc.ca/institutions/001002-3006-eng.shtml</w:t>
        </w:r>
      </w:hyperlink>
      <w:r w:rsidRPr="00163E7C">
        <w:rPr>
          <w:rFonts w:cs="Arial"/>
          <w:sz w:val="22"/>
          <w:szCs w:val="22"/>
        </w:rPr>
        <w:t xml:space="preserve"> </w:t>
      </w:r>
    </w:p>
  </w:endnote>
  <w:endnote w:id="67">
    <w:p w14:paraId="7531E9C4"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Prison Reform Trust (PRT) (2013) International Good Practice. </w:t>
      </w:r>
      <w:proofErr w:type="gramStart"/>
      <w:r w:rsidRPr="00163E7C">
        <w:rPr>
          <w:rFonts w:cs="Arial"/>
          <w:i/>
          <w:sz w:val="22"/>
          <w:szCs w:val="22"/>
        </w:rPr>
        <w:t>op</w:t>
      </w:r>
      <w:proofErr w:type="gramEnd"/>
      <w:r w:rsidRPr="00163E7C">
        <w:rPr>
          <w:rFonts w:cs="Arial"/>
          <w:i/>
          <w:sz w:val="22"/>
          <w:szCs w:val="22"/>
        </w:rPr>
        <w:t xml:space="preserve"> cit.</w:t>
      </w:r>
    </w:p>
  </w:endnote>
  <w:endnote w:id="68">
    <w:p w14:paraId="16E207EE"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Government of Canada.</w:t>
      </w:r>
      <w:proofErr w:type="gramEnd"/>
      <w:r w:rsidRPr="00163E7C">
        <w:rPr>
          <w:rFonts w:cs="Arial"/>
          <w:sz w:val="22"/>
          <w:szCs w:val="22"/>
        </w:rPr>
        <w:t xml:space="preserve"> </w:t>
      </w:r>
      <w:proofErr w:type="gramStart"/>
      <w:r w:rsidRPr="00163E7C">
        <w:rPr>
          <w:rFonts w:cs="Arial"/>
          <w:sz w:val="22"/>
          <w:szCs w:val="22"/>
        </w:rPr>
        <w:t>Correctional Service of Canada.</w:t>
      </w:r>
      <w:proofErr w:type="gramEnd"/>
      <w:r w:rsidRPr="00163E7C">
        <w:rPr>
          <w:rFonts w:cs="Arial"/>
          <w:sz w:val="22"/>
          <w:szCs w:val="22"/>
        </w:rPr>
        <w:t xml:space="preserve"> Nova Institution for Women URL: </w:t>
      </w:r>
      <w:hyperlink r:id="rId26" w:history="1">
        <w:r w:rsidRPr="00163E7C">
          <w:rPr>
            <w:rStyle w:val="Hyperlink"/>
            <w:rFonts w:cs="Arial"/>
            <w:sz w:val="22"/>
            <w:szCs w:val="22"/>
          </w:rPr>
          <w:t>http://www.csc-scc.gc.ca/institutions/001002-1003-eng.shtml</w:t>
        </w:r>
      </w:hyperlink>
      <w:r w:rsidRPr="00163E7C">
        <w:rPr>
          <w:rFonts w:cs="Arial"/>
          <w:sz w:val="22"/>
          <w:szCs w:val="22"/>
        </w:rPr>
        <w:t xml:space="preserve"> </w:t>
      </w:r>
    </w:p>
  </w:endnote>
  <w:endnote w:id="69">
    <w:p w14:paraId="7856F586"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Fair, H. (2009</w:t>
      </w:r>
      <w:proofErr w:type="gramStart"/>
      <w:r w:rsidRPr="00163E7C">
        <w:rPr>
          <w:rFonts w:cs="Arial"/>
          <w:sz w:val="22"/>
          <w:szCs w:val="22"/>
        </w:rPr>
        <w:t>) )</w:t>
      </w:r>
      <w:proofErr w:type="gramEnd"/>
      <w:r w:rsidRPr="00163E7C">
        <w:rPr>
          <w:rFonts w:cs="Arial"/>
          <w:sz w:val="22"/>
          <w:szCs w:val="22"/>
        </w:rPr>
        <w:t xml:space="preserve"> International review of women’s prisons. </w:t>
      </w:r>
      <w:proofErr w:type="gramStart"/>
      <w:r w:rsidRPr="00163E7C">
        <w:rPr>
          <w:rFonts w:cs="Arial"/>
          <w:i/>
          <w:sz w:val="22"/>
          <w:szCs w:val="22"/>
        </w:rPr>
        <w:t>op</w:t>
      </w:r>
      <w:proofErr w:type="gramEnd"/>
      <w:r w:rsidRPr="00163E7C">
        <w:rPr>
          <w:rFonts w:cs="Arial"/>
          <w:i/>
          <w:sz w:val="22"/>
          <w:szCs w:val="22"/>
        </w:rPr>
        <w:t xml:space="preserve"> cit.</w:t>
      </w:r>
    </w:p>
  </w:endnote>
  <w:endnote w:id="70">
    <w:p w14:paraId="3B15FB22" w14:textId="77777777" w:rsidR="00CD076F" w:rsidRPr="00163E7C" w:rsidRDefault="00CD076F" w:rsidP="00163E7C">
      <w:pPr>
        <w:rPr>
          <w:sz w:val="22"/>
          <w:szCs w:val="22"/>
        </w:rPr>
      </w:pPr>
      <w:proofErr w:type="gramStart"/>
      <w:r w:rsidRPr="00163E7C">
        <w:rPr>
          <w:rFonts w:eastAsia="Times New Roman"/>
          <w:sz w:val="22"/>
          <w:szCs w:val="22"/>
        </w:rPr>
        <w:t>Australian Bureau of Statistics (2014) Prisoners in Australia 2014.</w:t>
      </w:r>
      <w:proofErr w:type="gramEnd"/>
      <w:r w:rsidRPr="00163E7C">
        <w:rPr>
          <w:rFonts w:eastAsia="Times New Roman"/>
          <w:sz w:val="22"/>
          <w:szCs w:val="22"/>
        </w:rPr>
        <w:t xml:space="preserve"> </w:t>
      </w:r>
      <w:proofErr w:type="gramStart"/>
      <w:r w:rsidRPr="00163E7C">
        <w:rPr>
          <w:rFonts w:eastAsia="Times New Roman"/>
          <w:sz w:val="22"/>
          <w:szCs w:val="22"/>
        </w:rPr>
        <w:t>Australian Bureau of Statistics.</w:t>
      </w:r>
      <w:proofErr w:type="gramEnd"/>
      <w:r w:rsidRPr="00163E7C">
        <w:rPr>
          <w:rFonts w:eastAsia="Times New Roman"/>
          <w:sz w:val="22"/>
          <w:szCs w:val="22"/>
        </w:rPr>
        <w:t xml:space="preserve"> URL: </w:t>
      </w:r>
      <w:hyperlink r:id="rId27" w:history="1">
        <w:r w:rsidRPr="00163E7C">
          <w:rPr>
            <w:rStyle w:val="Hyperlink"/>
            <w:rFonts w:eastAsia="Times New Roman"/>
            <w:sz w:val="22"/>
            <w:szCs w:val="22"/>
          </w:rPr>
          <w:t>http://www.abs.gov.au/AUSSTATS/abs@.nsf/Lookup/4517.0Main+Features12014?OpenDocument</w:t>
        </w:r>
      </w:hyperlink>
      <w:r w:rsidRPr="00163E7C">
        <w:rPr>
          <w:rFonts w:eastAsia="Times New Roman"/>
          <w:sz w:val="22"/>
          <w:szCs w:val="22"/>
        </w:rPr>
        <w:t xml:space="preserve"> </w:t>
      </w:r>
    </w:p>
  </w:endnote>
  <w:endnote w:id="71">
    <w:p w14:paraId="55501F17" w14:textId="77777777" w:rsidR="00CD076F" w:rsidRPr="00EB29FB" w:rsidRDefault="00CD076F">
      <w:pPr>
        <w:pStyle w:val="EndnoteText"/>
        <w:rPr>
          <w:sz w:val="22"/>
          <w:szCs w:val="22"/>
        </w:rPr>
      </w:pPr>
      <w:r w:rsidRPr="00EB29FB">
        <w:rPr>
          <w:rStyle w:val="EndnoteReference"/>
          <w:sz w:val="22"/>
          <w:szCs w:val="22"/>
        </w:rPr>
        <w:endnoteRef/>
      </w:r>
      <w:r w:rsidRPr="00EB29FB">
        <w:rPr>
          <w:sz w:val="22"/>
          <w:szCs w:val="22"/>
        </w:rPr>
        <w:t xml:space="preserve"> Ibid.</w:t>
      </w:r>
    </w:p>
  </w:endnote>
  <w:endnote w:id="72">
    <w:p w14:paraId="7DC5AA17" w14:textId="77777777" w:rsidR="00CD076F" w:rsidRPr="00163E7C" w:rsidRDefault="00CD076F" w:rsidP="00072B27">
      <w:pPr>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spellStart"/>
      <w:proofErr w:type="gramStart"/>
      <w:r w:rsidRPr="00163E7C">
        <w:rPr>
          <w:rFonts w:cs="Arial"/>
          <w:sz w:val="22"/>
          <w:szCs w:val="22"/>
        </w:rPr>
        <w:t>Boronia</w:t>
      </w:r>
      <w:proofErr w:type="spellEnd"/>
      <w:r w:rsidRPr="00163E7C">
        <w:rPr>
          <w:rFonts w:cs="Arial"/>
          <w:sz w:val="22"/>
          <w:szCs w:val="22"/>
        </w:rPr>
        <w:t xml:space="preserve"> Pre-release Centre, Australia.</w:t>
      </w:r>
      <w:proofErr w:type="gramEnd"/>
      <w:r w:rsidRPr="00163E7C">
        <w:rPr>
          <w:rFonts w:cs="Arial"/>
          <w:sz w:val="22"/>
          <w:szCs w:val="22"/>
        </w:rPr>
        <w:t xml:space="preserve"> URL: </w:t>
      </w:r>
      <w:hyperlink r:id="rId28" w:history="1">
        <w:r w:rsidRPr="00163E7C">
          <w:rPr>
            <w:rStyle w:val="Hyperlink"/>
            <w:rFonts w:cs="Arial"/>
            <w:sz w:val="22"/>
            <w:szCs w:val="22"/>
          </w:rPr>
          <w:t>http://www.correctiveservices.wa.gov.au/prisons/prison-locations/boronia.aspx</w:t>
        </w:r>
      </w:hyperlink>
      <w:r w:rsidRPr="00163E7C">
        <w:rPr>
          <w:rStyle w:val="Hyperlink"/>
          <w:rFonts w:cs="Arial"/>
          <w:sz w:val="22"/>
          <w:szCs w:val="22"/>
        </w:rPr>
        <w:t xml:space="preserve">. </w:t>
      </w:r>
    </w:p>
  </w:endnote>
  <w:endnote w:id="73">
    <w:p w14:paraId="231B3469"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Bartels, L. &amp; Gaffney, A. (2011) </w:t>
      </w:r>
      <w:r w:rsidRPr="00163E7C">
        <w:rPr>
          <w:rFonts w:cs="Arial"/>
          <w:i/>
          <w:sz w:val="22"/>
          <w:szCs w:val="22"/>
        </w:rPr>
        <w:t xml:space="preserve">Op </w:t>
      </w:r>
      <w:proofErr w:type="gramStart"/>
      <w:r w:rsidRPr="00163E7C">
        <w:rPr>
          <w:rFonts w:cs="Arial"/>
          <w:i/>
          <w:sz w:val="22"/>
          <w:szCs w:val="22"/>
        </w:rPr>
        <w:t>cit.</w:t>
      </w:r>
      <w:r w:rsidRPr="00163E7C">
        <w:rPr>
          <w:rFonts w:cs="Arial"/>
          <w:sz w:val="22"/>
          <w:szCs w:val="22"/>
        </w:rPr>
        <w:t>.</w:t>
      </w:r>
      <w:proofErr w:type="gramEnd"/>
      <w:r w:rsidRPr="00163E7C">
        <w:rPr>
          <w:rFonts w:cs="Arial"/>
          <w:sz w:val="22"/>
          <w:szCs w:val="22"/>
        </w:rPr>
        <w:t xml:space="preserve"> p15</w:t>
      </w:r>
    </w:p>
  </w:endnote>
  <w:endnote w:id="74">
    <w:p w14:paraId="65B663F4"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Prison Reform Trust (PRT) (2013) International Good Practice. </w:t>
      </w:r>
      <w:proofErr w:type="gramStart"/>
      <w:r w:rsidRPr="00163E7C">
        <w:rPr>
          <w:rFonts w:cs="Arial"/>
          <w:i/>
          <w:sz w:val="22"/>
          <w:szCs w:val="22"/>
        </w:rPr>
        <w:t>op</w:t>
      </w:r>
      <w:proofErr w:type="gramEnd"/>
      <w:r w:rsidRPr="00163E7C">
        <w:rPr>
          <w:rFonts w:cs="Arial"/>
          <w:i/>
          <w:sz w:val="22"/>
          <w:szCs w:val="22"/>
        </w:rPr>
        <w:t xml:space="preserve"> cit.</w:t>
      </w:r>
    </w:p>
  </w:endnote>
  <w:endnote w:id="75">
    <w:p w14:paraId="2125703E"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NSW Government Justice Corrective Services, Mum </w:t>
      </w:r>
      <w:proofErr w:type="spellStart"/>
      <w:r w:rsidRPr="00163E7C">
        <w:rPr>
          <w:rFonts w:cs="Arial"/>
          <w:sz w:val="22"/>
          <w:szCs w:val="22"/>
        </w:rPr>
        <w:t>Shirl</w:t>
      </w:r>
      <w:proofErr w:type="spellEnd"/>
      <w:r w:rsidRPr="00163E7C">
        <w:rPr>
          <w:rFonts w:cs="Arial"/>
          <w:sz w:val="22"/>
          <w:szCs w:val="22"/>
        </w:rPr>
        <w:t xml:space="preserve"> Unit (MSU) URL: </w:t>
      </w:r>
      <w:hyperlink r:id="rId29" w:history="1">
        <w:r w:rsidRPr="00163E7C">
          <w:rPr>
            <w:rStyle w:val="Hyperlink"/>
            <w:rFonts w:cs="Arial"/>
            <w:sz w:val="22"/>
            <w:szCs w:val="22"/>
          </w:rPr>
          <w:t>http://www.correctiveservices.justice.nsw.gov.au/programs/at-risk-offenders/mum-shirl-unit</w:t>
        </w:r>
      </w:hyperlink>
      <w:r w:rsidRPr="00163E7C">
        <w:rPr>
          <w:rFonts w:cs="Arial"/>
          <w:sz w:val="22"/>
          <w:szCs w:val="22"/>
        </w:rPr>
        <w:t xml:space="preserve"> </w:t>
      </w:r>
    </w:p>
  </w:endnote>
  <w:endnote w:id="76">
    <w:p w14:paraId="344FC3E1"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See </w:t>
      </w:r>
      <w:hyperlink r:id="rId30" w:history="1">
        <w:r w:rsidRPr="00163E7C">
          <w:rPr>
            <w:rStyle w:val="Hyperlink"/>
            <w:rFonts w:cs="Arial"/>
            <w:sz w:val="22"/>
            <w:szCs w:val="22"/>
          </w:rPr>
          <w:t>http://www.goodlivesmodel.com/</w:t>
        </w:r>
      </w:hyperlink>
      <w:r w:rsidRPr="00163E7C">
        <w:rPr>
          <w:rFonts w:cs="Arial"/>
          <w:sz w:val="22"/>
          <w:szCs w:val="22"/>
        </w:rPr>
        <w:t xml:space="preserve"> </w:t>
      </w:r>
    </w:p>
  </w:endnote>
  <w:endnote w:id="77">
    <w:p w14:paraId="731A61E8"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See </w:t>
      </w:r>
      <w:hyperlink r:id="rId31" w:history="1">
        <w:r w:rsidRPr="00163E7C">
          <w:rPr>
            <w:rStyle w:val="Hyperlink"/>
            <w:rFonts w:cs="Arial"/>
            <w:sz w:val="22"/>
            <w:szCs w:val="22"/>
          </w:rPr>
          <w:t>http://duihua.org/wp/?p=5733</w:t>
        </w:r>
      </w:hyperlink>
      <w:r w:rsidRPr="00163E7C">
        <w:rPr>
          <w:rFonts w:cs="Arial"/>
          <w:sz w:val="22"/>
          <w:szCs w:val="22"/>
        </w:rPr>
        <w:t xml:space="preserve"> (Webpage- Adhering to the Bangkok Rules: Norway’s Largest Women’s Prison)</w:t>
      </w:r>
    </w:p>
  </w:endnote>
  <w:endnote w:id="78">
    <w:p w14:paraId="562AF2F2" w14:textId="77777777" w:rsidR="00CD076F" w:rsidRPr="00EB29FB" w:rsidRDefault="00CD076F" w:rsidP="003F3171">
      <w:pPr>
        <w:tabs>
          <w:tab w:val="clear" w:pos="720"/>
          <w:tab w:val="clear" w:pos="1440"/>
          <w:tab w:val="clear" w:pos="2160"/>
          <w:tab w:val="clear" w:pos="2880"/>
          <w:tab w:val="clear" w:pos="4680"/>
          <w:tab w:val="clear" w:pos="5400"/>
          <w:tab w:val="clear" w:pos="9000"/>
        </w:tabs>
        <w:autoSpaceDE w:val="0"/>
        <w:autoSpaceDN w:val="0"/>
        <w:adjustRightInd w:val="0"/>
        <w:spacing w:line="240" w:lineRule="auto"/>
        <w:rPr>
          <w:sz w:val="22"/>
          <w:szCs w:val="22"/>
        </w:rPr>
      </w:pPr>
      <w:r w:rsidRPr="00EB29FB">
        <w:rPr>
          <w:rStyle w:val="EndnoteReference"/>
          <w:sz w:val="22"/>
          <w:szCs w:val="22"/>
        </w:rPr>
        <w:endnoteRef/>
      </w:r>
      <w:r w:rsidRPr="00EB29FB">
        <w:rPr>
          <w:sz w:val="22"/>
          <w:szCs w:val="22"/>
        </w:rPr>
        <w:t xml:space="preserve"> </w:t>
      </w:r>
      <w:r w:rsidRPr="00163E7C">
        <w:rPr>
          <w:rFonts w:ascii="Arial,Bold" w:hAnsi="Arial,Bold" w:cs="Arial,Bold"/>
          <w:bCs/>
          <w:sz w:val="22"/>
          <w:szCs w:val="22"/>
        </w:rPr>
        <w:t xml:space="preserve">European Committee for the Prevention of Torture and Inhuman or Degrading Treatment or Punishment (CPT) (1992) Report to the Swedish Government on the visit to Sweden from 5 to 14 May 1991. </w:t>
      </w:r>
      <w:proofErr w:type="gramStart"/>
      <w:r w:rsidRPr="00163E7C">
        <w:rPr>
          <w:rFonts w:ascii="Arial,Bold" w:hAnsi="Arial,Bold" w:cs="Arial,Bold"/>
          <w:bCs/>
          <w:sz w:val="22"/>
          <w:szCs w:val="22"/>
        </w:rPr>
        <w:t>Council of Europe.</w:t>
      </w:r>
      <w:proofErr w:type="gramEnd"/>
    </w:p>
  </w:endnote>
  <w:endnote w:id="79">
    <w:p w14:paraId="48B71CE2" w14:textId="77777777" w:rsidR="00CD076F" w:rsidRPr="00510F25" w:rsidRDefault="00CD076F" w:rsidP="00510F25">
      <w:pPr>
        <w:pStyle w:val="EndnoteText"/>
        <w:jc w:val="left"/>
        <w:rPr>
          <w:rFonts w:cs="Arial"/>
          <w:sz w:val="22"/>
          <w:szCs w:val="22"/>
        </w:rPr>
      </w:pPr>
      <w:r w:rsidRPr="00510F25">
        <w:rPr>
          <w:rStyle w:val="EndnoteReference"/>
          <w:rFonts w:cs="Arial"/>
          <w:sz w:val="22"/>
          <w:szCs w:val="22"/>
        </w:rPr>
        <w:endnoteRef/>
      </w:r>
      <w:r w:rsidRPr="00510F25">
        <w:rPr>
          <w:rFonts w:cs="Arial"/>
          <w:sz w:val="22"/>
          <w:szCs w:val="22"/>
        </w:rPr>
        <w:t xml:space="preserve"> </w:t>
      </w:r>
      <w:proofErr w:type="gramStart"/>
      <w:r w:rsidRPr="00510F25">
        <w:rPr>
          <w:rFonts w:cs="Arial"/>
          <w:sz w:val="22"/>
          <w:szCs w:val="22"/>
        </w:rPr>
        <w:t>ICPS (2008) International Profile of Women’s Prisons.</w:t>
      </w:r>
      <w:proofErr w:type="gramEnd"/>
      <w:r w:rsidRPr="00510F25">
        <w:rPr>
          <w:rFonts w:cs="Arial"/>
          <w:sz w:val="22"/>
          <w:szCs w:val="22"/>
        </w:rPr>
        <w:t xml:space="preserve">  </w:t>
      </w:r>
      <w:proofErr w:type="gramStart"/>
      <w:r w:rsidRPr="00510F25">
        <w:rPr>
          <w:rFonts w:cs="Arial"/>
          <w:i/>
          <w:sz w:val="22"/>
          <w:szCs w:val="22"/>
        </w:rPr>
        <w:t>op</w:t>
      </w:r>
      <w:proofErr w:type="gramEnd"/>
      <w:r w:rsidRPr="00510F25">
        <w:rPr>
          <w:rFonts w:cs="Arial"/>
          <w:i/>
          <w:sz w:val="22"/>
          <w:szCs w:val="22"/>
        </w:rPr>
        <w:t xml:space="preserve"> cit.</w:t>
      </w:r>
    </w:p>
  </w:endnote>
  <w:endnote w:id="80">
    <w:p w14:paraId="33DBE451" w14:textId="77777777" w:rsidR="00CD076F" w:rsidRPr="00D153D4" w:rsidRDefault="00CD076F" w:rsidP="00EB29FB">
      <w:pPr>
        <w:pStyle w:val="EndnoteText"/>
        <w:jc w:val="left"/>
      </w:pPr>
      <w:r w:rsidRPr="00EB29FB">
        <w:rPr>
          <w:rStyle w:val="EndnoteReference"/>
          <w:sz w:val="22"/>
          <w:szCs w:val="22"/>
        </w:rPr>
        <w:endnoteRef/>
      </w:r>
      <w:r w:rsidRPr="00EB29FB">
        <w:rPr>
          <w:sz w:val="22"/>
          <w:szCs w:val="22"/>
        </w:rPr>
        <w:t xml:space="preserve"> </w:t>
      </w:r>
      <w:proofErr w:type="gramStart"/>
      <w:r w:rsidRPr="00EB29FB">
        <w:rPr>
          <w:sz w:val="22"/>
          <w:szCs w:val="22"/>
        </w:rPr>
        <w:t>UK Parliament (2015) Justice – First Special Report.</w:t>
      </w:r>
      <w:proofErr w:type="gramEnd"/>
      <w:r w:rsidRPr="00EB29FB">
        <w:rPr>
          <w:sz w:val="22"/>
          <w:szCs w:val="22"/>
        </w:rPr>
        <w:t xml:space="preserve"> Women offenders: follow up. 23 July 2015 (Appendix: Government Response) URL: </w:t>
      </w:r>
      <w:hyperlink r:id="rId32" w:history="1">
        <w:r w:rsidRPr="00EB29FB">
          <w:rPr>
            <w:rStyle w:val="Hyperlink"/>
            <w:sz w:val="22"/>
            <w:szCs w:val="22"/>
          </w:rPr>
          <w:t>http://www.publications.parliament.uk/pa/cm201516/cmselect/cmjustice/374/37402.htm</w:t>
        </w:r>
      </w:hyperlink>
      <w:r>
        <w:rPr>
          <w:sz w:val="22"/>
          <w:szCs w:val="22"/>
        </w:rPr>
        <w:t xml:space="preserve"> </w:t>
      </w:r>
    </w:p>
  </w:endnote>
  <w:endnote w:id="81">
    <w:p w14:paraId="15D2C594"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Fair, H. (2009</w:t>
      </w:r>
      <w:proofErr w:type="gramStart"/>
      <w:r w:rsidRPr="00163E7C">
        <w:rPr>
          <w:rFonts w:cs="Arial"/>
          <w:sz w:val="22"/>
          <w:szCs w:val="22"/>
        </w:rPr>
        <w:t>) )</w:t>
      </w:r>
      <w:proofErr w:type="gramEnd"/>
      <w:r w:rsidRPr="00163E7C">
        <w:rPr>
          <w:rFonts w:cs="Arial"/>
          <w:sz w:val="22"/>
          <w:szCs w:val="22"/>
        </w:rPr>
        <w:t xml:space="preserve"> International review of women’s prisons. </w:t>
      </w:r>
      <w:proofErr w:type="gramStart"/>
      <w:r w:rsidRPr="00163E7C">
        <w:rPr>
          <w:rFonts w:cs="Arial"/>
          <w:i/>
          <w:sz w:val="22"/>
          <w:szCs w:val="22"/>
        </w:rPr>
        <w:t>op</w:t>
      </w:r>
      <w:proofErr w:type="gramEnd"/>
      <w:r w:rsidRPr="00163E7C">
        <w:rPr>
          <w:rFonts w:cs="Arial"/>
          <w:i/>
          <w:sz w:val="22"/>
          <w:szCs w:val="22"/>
        </w:rPr>
        <w:t xml:space="preserve"> cit.</w:t>
      </w:r>
    </w:p>
  </w:endnote>
  <w:endnote w:id="82">
    <w:p w14:paraId="51F2838D"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ICPS (2008) International Profile of Women’s Prisons.</w:t>
      </w:r>
      <w:proofErr w:type="gramEnd"/>
      <w:r w:rsidRPr="00163E7C">
        <w:rPr>
          <w:rFonts w:cs="Arial"/>
          <w:sz w:val="22"/>
          <w:szCs w:val="22"/>
        </w:rPr>
        <w:t xml:space="preserve">  </w:t>
      </w:r>
      <w:proofErr w:type="gramStart"/>
      <w:r w:rsidRPr="00163E7C">
        <w:rPr>
          <w:rFonts w:cs="Arial"/>
          <w:i/>
          <w:sz w:val="22"/>
          <w:szCs w:val="22"/>
        </w:rPr>
        <w:t>op</w:t>
      </w:r>
      <w:proofErr w:type="gramEnd"/>
      <w:r w:rsidRPr="00163E7C">
        <w:rPr>
          <w:rFonts w:cs="Arial"/>
          <w:i/>
          <w:sz w:val="22"/>
          <w:szCs w:val="22"/>
        </w:rPr>
        <w:t xml:space="preserve"> cit</w:t>
      </w:r>
      <w:r w:rsidRPr="00163E7C">
        <w:rPr>
          <w:rFonts w:cs="Arial"/>
          <w:sz w:val="22"/>
          <w:szCs w:val="22"/>
        </w:rPr>
        <w:t xml:space="preserve">.  </w:t>
      </w:r>
    </w:p>
  </w:endnote>
  <w:endnote w:id="83">
    <w:p w14:paraId="5FAD8852"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Ibid.</w:t>
      </w:r>
      <w:proofErr w:type="gramEnd"/>
      <w:r w:rsidRPr="00163E7C">
        <w:rPr>
          <w:rFonts w:cs="Arial"/>
          <w:sz w:val="22"/>
          <w:szCs w:val="22"/>
        </w:rPr>
        <w:t xml:space="preserve">  </w:t>
      </w:r>
    </w:p>
  </w:endnote>
  <w:endnote w:id="84">
    <w:p w14:paraId="1F53924D"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 citing </w:t>
      </w:r>
      <w:proofErr w:type="spellStart"/>
      <w:r w:rsidRPr="00163E7C">
        <w:rPr>
          <w:rFonts w:cs="Arial"/>
          <w:sz w:val="22"/>
          <w:szCs w:val="22"/>
        </w:rPr>
        <w:t>Carcedo</w:t>
      </w:r>
      <w:proofErr w:type="spellEnd"/>
      <w:r w:rsidRPr="00163E7C">
        <w:rPr>
          <w:rFonts w:cs="Arial"/>
          <w:sz w:val="22"/>
          <w:szCs w:val="22"/>
        </w:rPr>
        <w:t>, R. et al (2008)</w:t>
      </w:r>
    </w:p>
  </w:endnote>
  <w:endnote w:id="85">
    <w:p w14:paraId="642045A6"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E.g. Prison Reform Trust (PRT) (2013) International Good Practice. </w:t>
      </w:r>
      <w:proofErr w:type="gramStart"/>
      <w:r w:rsidRPr="00163E7C">
        <w:rPr>
          <w:rFonts w:cs="Arial"/>
          <w:i/>
          <w:sz w:val="22"/>
          <w:szCs w:val="22"/>
        </w:rPr>
        <w:t>op</w:t>
      </w:r>
      <w:proofErr w:type="gramEnd"/>
      <w:r w:rsidRPr="00163E7C">
        <w:rPr>
          <w:rFonts w:cs="Arial"/>
          <w:i/>
          <w:sz w:val="22"/>
          <w:szCs w:val="22"/>
        </w:rPr>
        <w:t xml:space="preserve"> cit</w:t>
      </w:r>
      <w:r w:rsidRPr="00163E7C">
        <w:rPr>
          <w:rFonts w:cs="Arial"/>
          <w:sz w:val="22"/>
          <w:szCs w:val="22"/>
        </w:rPr>
        <w:t xml:space="preserve">.; PRT (2014) Transforming Lives: reducing women’s imprisonment.  </w:t>
      </w:r>
      <w:proofErr w:type="gramStart"/>
      <w:r w:rsidRPr="00163E7C">
        <w:rPr>
          <w:rFonts w:cs="Arial"/>
          <w:i/>
          <w:sz w:val="22"/>
          <w:szCs w:val="22"/>
        </w:rPr>
        <w:t>op</w:t>
      </w:r>
      <w:proofErr w:type="gramEnd"/>
      <w:r w:rsidRPr="00163E7C">
        <w:rPr>
          <w:rFonts w:cs="Arial"/>
          <w:i/>
          <w:sz w:val="22"/>
          <w:szCs w:val="22"/>
        </w:rPr>
        <w:t xml:space="preserve"> cit.</w:t>
      </w:r>
      <w:r w:rsidRPr="00163E7C">
        <w:rPr>
          <w:rFonts w:cs="Arial"/>
          <w:sz w:val="22"/>
          <w:szCs w:val="22"/>
        </w:rPr>
        <w:t xml:space="preserve">; Scottish Government (2015) Evaluation of Sixteen Women’s Community Justice Centres in Scotland (forthcoming);. </w:t>
      </w:r>
    </w:p>
  </w:endnote>
  <w:endnote w:id="86">
    <w:p w14:paraId="451CDB8E" w14:textId="77777777" w:rsidR="00CD076F" w:rsidRPr="00163E7C" w:rsidRDefault="00CD076F">
      <w:pPr>
        <w:pStyle w:val="EndnoteText"/>
        <w:rPr>
          <w:sz w:val="22"/>
          <w:szCs w:val="22"/>
        </w:rPr>
      </w:pPr>
      <w:r w:rsidRPr="00163E7C">
        <w:rPr>
          <w:rStyle w:val="EndnoteReference"/>
          <w:sz w:val="22"/>
          <w:szCs w:val="22"/>
        </w:rPr>
        <w:endnoteRef/>
      </w:r>
      <w:r w:rsidRPr="00163E7C">
        <w:rPr>
          <w:sz w:val="22"/>
          <w:szCs w:val="22"/>
        </w:rPr>
        <w:t xml:space="preserve"> Lindstrom, P. &amp; </w:t>
      </w:r>
      <w:proofErr w:type="spellStart"/>
      <w:r w:rsidRPr="00163E7C">
        <w:rPr>
          <w:sz w:val="22"/>
          <w:szCs w:val="22"/>
        </w:rPr>
        <w:t>Leijonram</w:t>
      </w:r>
      <w:proofErr w:type="spellEnd"/>
      <w:r w:rsidRPr="00163E7C">
        <w:rPr>
          <w:sz w:val="22"/>
          <w:szCs w:val="22"/>
        </w:rPr>
        <w:t xml:space="preserve">, E. (2008) The Swedish Prison System </w:t>
      </w:r>
      <w:r w:rsidRPr="00163E7C">
        <w:rPr>
          <w:i/>
          <w:sz w:val="22"/>
          <w:szCs w:val="22"/>
        </w:rPr>
        <w:t>op cit.</w:t>
      </w:r>
    </w:p>
  </w:endnote>
  <w:endnote w:id="87">
    <w:p w14:paraId="7F1F9FCA" w14:textId="77777777" w:rsidR="00CD076F" w:rsidRPr="00163E7C" w:rsidRDefault="00CD076F">
      <w:pPr>
        <w:pStyle w:val="EndnoteText"/>
        <w:rPr>
          <w:sz w:val="22"/>
          <w:szCs w:val="22"/>
        </w:rPr>
      </w:pPr>
      <w:r w:rsidRPr="00163E7C">
        <w:rPr>
          <w:rStyle w:val="EndnoteReference"/>
          <w:sz w:val="22"/>
          <w:szCs w:val="22"/>
        </w:rPr>
        <w:endnoteRef/>
      </w:r>
      <w:r w:rsidRPr="00163E7C">
        <w:rPr>
          <w:sz w:val="22"/>
          <w:szCs w:val="22"/>
        </w:rPr>
        <w:t xml:space="preserve"> European Prison Observatory (2013) Prison Conditions in France. EPO: Rome. URL: </w:t>
      </w:r>
      <w:hyperlink r:id="rId33" w:history="1">
        <w:r w:rsidRPr="00163E7C">
          <w:rPr>
            <w:rStyle w:val="Hyperlink"/>
            <w:sz w:val="22"/>
            <w:szCs w:val="22"/>
          </w:rPr>
          <w:t>http://www.prisonobservatory.org/upload/PrisonconditionsinFrance.pdf</w:t>
        </w:r>
      </w:hyperlink>
      <w:r w:rsidRPr="00163E7C">
        <w:rPr>
          <w:sz w:val="22"/>
          <w:szCs w:val="22"/>
        </w:rPr>
        <w:t xml:space="preserve"> </w:t>
      </w:r>
    </w:p>
  </w:endnote>
  <w:endnote w:id="88">
    <w:p w14:paraId="7B41F3FA" w14:textId="77777777" w:rsidR="00CD076F" w:rsidRPr="00163E7C" w:rsidRDefault="00CD076F" w:rsidP="00882D76">
      <w:pPr>
        <w:pStyle w:val="EndnoteText"/>
        <w:rPr>
          <w:sz w:val="22"/>
          <w:szCs w:val="22"/>
        </w:rPr>
      </w:pPr>
      <w:r w:rsidRPr="00163E7C">
        <w:rPr>
          <w:rStyle w:val="EndnoteReference"/>
          <w:sz w:val="22"/>
          <w:szCs w:val="22"/>
        </w:rPr>
        <w:endnoteRef/>
      </w:r>
      <w:r w:rsidRPr="00163E7C">
        <w:rPr>
          <w:sz w:val="22"/>
          <w:szCs w:val="22"/>
        </w:rPr>
        <w:t xml:space="preserve"> See </w:t>
      </w:r>
      <w:hyperlink r:id="rId34" w:history="1">
        <w:r w:rsidRPr="00163E7C">
          <w:rPr>
            <w:rStyle w:val="Hyperlink"/>
            <w:rFonts w:cs="Arial"/>
            <w:color w:val="000000"/>
            <w:sz w:val="22"/>
            <w:szCs w:val="22"/>
          </w:rPr>
          <w:t>http://www.irishprisons.ie/index.php/joomlaorg/mountjoy-campus/dochas-centre</w:t>
        </w:r>
      </w:hyperlink>
      <w:r w:rsidRPr="00163E7C">
        <w:rPr>
          <w:rStyle w:val="Hyperlink"/>
          <w:rFonts w:cs="Arial"/>
          <w:color w:val="000000"/>
          <w:sz w:val="22"/>
          <w:szCs w:val="22"/>
        </w:rPr>
        <w:t xml:space="preserve">  </w:t>
      </w:r>
    </w:p>
  </w:endnote>
  <w:endnote w:id="89">
    <w:p w14:paraId="2C39B7BB"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Prison Reform Trust (PRT) (2013) International Good Practice. </w:t>
      </w:r>
      <w:proofErr w:type="gramStart"/>
      <w:r w:rsidRPr="00163E7C">
        <w:rPr>
          <w:rFonts w:cs="Arial"/>
          <w:i/>
          <w:sz w:val="22"/>
          <w:szCs w:val="22"/>
        </w:rPr>
        <w:t>op</w:t>
      </w:r>
      <w:proofErr w:type="gramEnd"/>
      <w:r w:rsidRPr="00163E7C">
        <w:rPr>
          <w:rFonts w:cs="Arial"/>
          <w:i/>
          <w:sz w:val="22"/>
          <w:szCs w:val="22"/>
        </w:rPr>
        <w:t xml:space="preserve"> cit.</w:t>
      </w:r>
    </w:p>
  </w:endnote>
  <w:endnote w:id="90">
    <w:p w14:paraId="3D4A48CA" w14:textId="77777777" w:rsidR="00CD076F" w:rsidRPr="00163E7C" w:rsidRDefault="00CD076F" w:rsidP="008A37EC">
      <w:pPr>
        <w:pStyle w:val="EndnoteText"/>
        <w:rPr>
          <w:sz w:val="22"/>
          <w:szCs w:val="22"/>
        </w:rPr>
      </w:pPr>
      <w:r w:rsidRPr="00163E7C">
        <w:rPr>
          <w:rStyle w:val="EndnoteReference"/>
          <w:sz w:val="22"/>
          <w:szCs w:val="22"/>
        </w:rPr>
        <w:endnoteRef/>
      </w:r>
      <w:r w:rsidRPr="00163E7C">
        <w:rPr>
          <w:sz w:val="22"/>
          <w:szCs w:val="22"/>
        </w:rPr>
        <w:t xml:space="preserve"> </w:t>
      </w:r>
      <w:proofErr w:type="gramStart"/>
      <w:r w:rsidRPr="00163E7C">
        <w:rPr>
          <w:sz w:val="22"/>
          <w:szCs w:val="22"/>
        </w:rPr>
        <w:t xml:space="preserve">Prison Review Team (2011) Review of the Northern Ireland Prison Service: </w:t>
      </w:r>
      <w:r w:rsidRPr="00163E7C">
        <w:rPr>
          <w:bCs/>
          <w:sz w:val="22"/>
          <w:szCs w:val="22"/>
        </w:rPr>
        <w:t>Conditions, management and oversight of all prisons.</w:t>
      </w:r>
      <w:proofErr w:type="gramEnd"/>
      <w:r w:rsidRPr="00163E7C">
        <w:rPr>
          <w:bCs/>
          <w:sz w:val="22"/>
          <w:szCs w:val="22"/>
        </w:rPr>
        <w:t xml:space="preserve"> URL: </w:t>
      </w:r>
      <w:hyperlink r:id="rId35" w:history="1">
        <w:r w:rsidRPr="00163E7C">
          <w:rPr>
            <w:rStyle w:val="Hyperlink"/>
            <w:bCs/>
            <w:color w:val="000000"/>
            <w:sz w:val="22"/>
            <w:szCs w:val="22"/>
          </w:rPr>
          <w:t>http://www.dojni.gov.uk/index/ni-prison-service/nips-publications/reports-reviews-nips/owers-review-of-the-northern-ireland-prison-service.pdf</w:t>
        </w:r>
      </w:hyperlink>
      <w:r w:rsidRPr="00163E7C">
        <w:rPr>
          <w:rStyle w:val="Hyperlink"/>
          <w:bCs/>
          <w:color w:val="000000"/>
          <w:sz w:val="22"/>
          <w:szCs w:val="22"/>
        </w:rPr>
        <w:t xml:space="preserve">   </w:t>
      </w:r>
    </w:p>
  </w:endnote>
  <w:endnote w:id="91">
    <w:p w14:paraId="65D74EA3" w14:textId="77777777" w:rsidR="00CD076F" w:rsidRPr="00163E7C" w:rsidRDefault="00CD076F" w:rsidP="008A37EC">
      <w:pPr>
        <w:pStyle w:val="EndnoteText"/>
        <w:rPr>
          <w:sz w:val="22"/>
          <w:szCs w:val="22"/>
        </w:rPr>
      </w:pPr>
      <w:r w:rsidRPr="00163E7C">
        <w:rPr>
          <w:rStyle w:val="EndnoteReference"/>
          <w:sz w:val="22"/>
          <w:szCs w:val="22"/>
        </w:rPr>
        <w:endnoteRef/>
      </w:r>
      <w:r w:rsidRPr="00163E7C">
        <w:rPr>
          <w:sz w:val="22"/>
          <w:szCs w:val="22"/>
        </w:rPr>
        <w:t xml:space="preserve"> </w:t>
      </w:r>
      <w:r w:rsidRPr="00163E7C">
        <w:rPr>
          <w:rFonts w:cs="Arial"/>
          <w:sz w:val="22"/>
          <w:szCs w:val="22"/>
        </w:rPr>
        <w:t xml:space="preserve">PRT (2014) Transforming Lives: reducing women’s imprisonment.  </w:t>
      </w:r>
      <w:proofErr w:type="gramStart"/>
      <w:r w:rsidRPr="00163E7C">
        <w:rPr>
          <w:rFonts w:cs="Arial"/>
          <w:i/>
          <w:sz w:val="22"/>
          <w:szCs w:val="22"/>
        </w:rPr>
        <w:t>op</w:t>
      </w:r>
      <w:proofErr w:type="gramEnd"/>
      <w:r w:rsidRPr="00163E7C">
        <w:rPr>
          <w:rFonts w:cs="Arial"/>
          <w:i/>
          <w:sz w:val="22"/>
          <w:szCs w:val="22"/>
        </w:rPr>
        <w:t xml:space="preserve"> cit.</w:t>
      </w:r>
    </w:p>
  </w:endnote>
  <w:endnote w:id="92">
    <w:p w14:paraId="0FF0BA94" w14:textId="77777777" w:rsidR="00CD076F" w:rsidRPr="00163E7C" w:rsidRDefault="00CD076F" w:rsidP="004951FD">
      <w:pPr>
        <w:pStyle w:val="EndnoteText"/>
        <w:rPr>
          <w:sz w:val="22"/>
          <w:szCs w:val="22"/>
        </w:rPr>
      </w:pPr>
      <w:r w:rsidRPr="00163E7C">
        <w:rPr>
          <w:rStyle w:val="EndnoteReference"/>
          <w:sz w:val="22"/>
          <w:szCs w:val="22"/>
        </w:rPr>
        <w:endnoteRef/>
      </w:r>
      <w:r w:rsidRPr="00163E7C">
        <w:rPr>
          <w:sz w:val="22"/>
          <w:szCs w:val="22"/>
        </w:rPr>
        <w:t xml:space="preserve"> NOMS (2013) Women’s Custodial Estate Review. London: NOMS URL: </w:t>
      </w:r>
      <w:hyperlink r:id="rId36" w:history="1">
        <w:r w:rsidRPr="00163E7C">
          <w:rPr>
            <w:rStyle w:val="Hyperlink"/>
            <w:sz w:val="22"/>
            <w:szCs w:val="22"/>
          </w:rPr>
          <w:t>https://www.gov.uk/government/publications/a-new-approach-to-managing-female-offenders</w:t>
        </w:r>
      </w:hyperlink>
      <w:r w:rsidRPr="00163E7C">
        <w:rPr>
          <w:sz w:val="22"/>
          <w:szCs w:val="22"/>
        </w:rPr>
        <w:t xml:space="preserve"> </w:t>
      </w:r>
    </w:p>
  </w:endnote>
  <w:endnote w:id="93">
    <w:p w14:paraId="213280CE" w14:textId="77777777" w:rsidR="00CD076F" w:rsidRPr="00C77AA1" w:rsidRDefault="00CD076F">
      <w:pPr>
        <w:pStyle w:val="EndnoteText"/>
      </w:pPr>
      <w:r w:rsidRPr="00EB29FB">
        <w:rPr>
          <w:rStyle w:val="EndnoteReference"/>
        </w:rPr>
        <w:endnoteRef/>
      </w:r>
      <w:r w:rsidRPr="00EB29FB">
        <w:t xml:space="preserve"> </w:t>
      </w:r>
      <w:proofErr w:type="gramStart"/>
      <w:r w:rsidRPr="00510F25">
        <w:rPr>
          <w:sz w:val="22"/>
          <w:szCs w:val="22"/>
        </w:rPr>
        <w:t>UK Parliament (2015)</w:t>
      </w:r>
      <w:r>
        <w:rPr>
          <w:sz w:val="22"/>
          <w:szCs w:val="22"/>
        </w:rPr>
        <w:t xml:space="preserve"> Justice – First Special Report</w:t>
      </w:r>
      <w:r w:rsidRPr="00510F25">
        <w:rPr>
          <w:sz w:val="22"/>
          <w:szCs w:val="22"/>
        </w:rPr>
        <w:t xml:space="preserve"> </w:t>
      </w:r>
      <w:r w:rsidRPr="00EB29FB">
        <w:rPr>
          <w:i/>
          <w:sz w:val="22"/>
          <w:szCs w:val="22"/>
        </w:rPr>
        <w:t>op cit.</w:t>
      </w:r>
      <w:proofErr w:type="gramEnd"/>
    </w:p>
  </w:endnote>
  <w:endnote w:id="94">
    <w:p w14:paraId="29842BCA" w14:textId="77777777" w:rsidR="00CD076F" w:rsidRPr="00163E7C" w:rsidRDefault="00CD076F" w:rsidP="00BB7196">
      <w:pPr>
        <w:pStyle w:val="EndnoteText"/>
        <w:rPr>
          <w:sz w:val="22"/>
          <w:szCs w:val="22"/>
        </w:rPr>
      </w:pPr>
      <w:r w:rsidRPr="00163E7C">
        <w:rPr>
          <w:rStyle w:val="EndnoteReference"/>
          <w:sz w:val="22"/>
          <w:szCs w:val="22"/>
        </w:rPr>
        <w:endnoteRef/>
      </w:r>
      <w:r w:rsidRPr="00163E7C">
        <w:rPr>
          <w:sz w:val="22"/>
          <w:szCs w:val="22"/>
        </w:rPr>
        <w:t xml:space="preserve"> Justice Committee’s Thirteenth Report Women Offenders: Follow Up. 17 March 2015 URL: </w:t>
      </w:r>
      <w:hyperlink r:id="rId37" w:history="1">
        <w:r w:rsidRPr="00163E7C">
          <w:rPr>
            <w:rStyle w:val="Hyperlink"/>
            <w:sz w:val="22"/>
            <w:szCs w:val="22"/>
          </w:rPr>
          <w:t>http://www.publications.parliament.uk/pa/cm201415/cmselect/cmjust/314/31402.htm</w:t>
        </w:r>
      </w:hyperlink>
      <w:r w:rsidRPr="00163E7C">
        <w:rPr>
          <w:sz w:val="22"/>
          <w:szCs w:val="22"/>
        </w:rPr>
        <w:t xml:space="preserve"> </w:t>
      </w:r>
    </w:p>
  </w:endnote>
  <w:endnote w:id="95">
    <w:p w14:paraId="4E90ACC3" w14:textId="77777777" w:rsidR="00CD076F" w:rsidRPr="00EB29FB" w:rsidRDefault="00CD076F">
      <w:pPr>
        <w:pStyle w:val="EndnoteText"/>
        <w:rPr>
          <w:sz w:val="22"/>
          <w:szCs w:val="22"/>
        </w:rPr>
      </w:pPr>
      <w:r w:rsidRPr="00163E7C">
        <w:rPr>
          <w:rStyle w:val="EndnoteReference"/>
          <w:sz w:val="22"/>
          <w:szCs w:val="22"/>
        </w:rPr>
        <w:endnoteRef/>
      </w:r>
      <w:r w:rsidRPr="00163E7C">
        <w:rPr>
          <w:sz w:val="22"/>
          <w:szCs w:val="22"/>
        </w:rPr>
        <w:t xml:space="preserve"> </w:t>
      </w:r>
      <w:r w:rsidRPr="00163E7C">
        <w:rPr>
          <w:rFonts w:cs="Arial"/>
          <w:sz w:val="22"/>
          <w:szCs w:val="22"/>
        </w:rPr>
        <w:t xml:space="preserve">PRT (2014) Transforming Lives: reducing women’s imprisonment.  </w:t>
      </w:r>
      <w:r w:rsidRPr="00163E7C">
        <w:rPr>
          <w:rFonts w:cs="Arial"/>
          <w:i/>
          <w:sz w:val="22"/>
          <w:szCs w:val="22"/>
        </w:rPr>
        <w:t xml:space="preserve">op cit. </w:t>
      </w:r>
      <w:r w:rsidRPr="00163E7C">
        <w:rPr>
          <w:sz w:val="22"/>
          <w:szCs w:val="22"/>
        </w:rPr>
        <w:t>p45</w:t>
      </w:r>
    </w:p>
  </w:endnote>
  <w:endnote w:id="96">
    <w:p w14:paraId="1F40A084" w14:textId="77777777" w:rsidR="00CD076F" w:rsidRPr="00163E7C" w:rsidRDefault="00CD076F" w:rsidP="00E0469F">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Fair (2009</w:t>
      </w:r>
      <w:proofErr w:type="gramStart"/>
      <w:r w:rsidRPr="00163E7C">
        <w:rPr>
          <w:rFonts w:cs="Arial"/>
          <w:sz w:val="22"/>
          <w:szCs w:val="22"/>
        </w:rPr>
        <w:t>) )</w:t>
      </w:r>
      <w:proofErr w:type="gramEnd"/>
      <w:r w:rsidRPr="00163E7C">
        <w:rPr>
          <w:rFonts w:cs="Arial"/>
          <w:sz w:val="22"/>
          <w:szCs w:val="22"/>
        </w:rPr>
        <w:t xml:space="preserve"> International review of women’s prisons. </w:t>
      </w:r>
      <w:proofErr w:type="gramStart"/>
      <w:r w:rsidRPr="00163E7C">
        <w:rPr>
          <w:rFonts w:cs="Arial"/>
          <w:i/>
          <w:sz w:val="22"/>
          <w:szCs w:val="22"/>
        </w:rPr>
        <w:t>op</w:t>
      </w:r>
      <w:proofErr w:type="gramEnd"/>
      <w:r w:rsidRPr="00163E7C">
        <w:rPr>
          <w:rFonts w:cs="Arial"/>
          <w:i/>
          <w:sz w:val="22"/>
          <w:szCs w:val="22"/>
        </w:rPr>
        <w:t xml:space="preserve"> cit.</w:t>
      </w:r>
      <w:r w:rsidRPr="00163E7C">
        <w:rPr>
          <w:rFonts w:cs="Arial"/>
          <w:sz w:val="22"/>
          <w:szCs w:val="22"/>
        </w:rPr>
        <w:t>.</w:t>
      </w:r>
    </w:p>
  </w:endnote>
  <w:endnote w:id="97">
    <w:p w14:paraId="0D5A9C1B" w14:textId="77777777" w:rsidR="00CD076F" w:rsidRPr="00163E7C" w:rsidRDefault="00CD076F" w:rsidP="00E0469F">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Prison Reform Trust (PRT) (2013) International Good Practice. </w:t>
      </w:r>
      <w:proofErr w:type="gramStart"/>
      <w:r w:rsidRPr="00163E7C">
        <w:rPr>
          <w:rFonts w:cs="Arial"/>
          <w:i/>
          <w:sz w:val="22"/>
          <w:szCs w:val="22"/>
        </w:rPr>
        <w:t>op</w:t>
      </w:r>
      <w:proofErr w:type="gramEnd"/>
      <w:r w:rsidRPr="00163E7C">
        <w:rPr>
          <w:rFonts w:cs="Arial"/>
          <w:i/>
          <w:sz w:val="22"/>
          <w:szCs w:val="22"/>
        </w:rPr>
        <w:t xml:space="preserve"> cit.</w:t>
      </w:r>
      <w:r w:rsidRPr="00163E7C">
        <w:rPr>
          <w:rFonts w:cs="Arial"/>
          <w:sz w:val="22"/>
          <w:szCs w:val="22"/>
        </w:rPr>
        <w:t>.</w:t>
      </w:r>
    </w:p>
  </w:endnote>
  <w:endnote w:id="98">
    <w:p w14:paraId="68237B77" w14:textId="77777777" w:rsidR="00CD076F" w:rsidRPr="00163E7C" w:rsidRDefault="00CD076F" w:rsidP="00E0469F">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Fair (2009</w:t>
      </w:r>
      <w:proofErr w:type="gramStart"/>
      <w:r w:rsidRPr="00163E7C">
        <w:rPr>
          <w:rFonts w:cs="Arial"/>
          <w:sz w:val="22"/>
          <w:szCs w:val="22"/>
        </w:rPr>
        <w:t>) )</w:t>
      </w:r>
      <w:proofErr w:type="gramEnd"/>
      <w:r w:rsidRPr="00163E7C">
        <w:rPr>
          <w:rFonts w:cs="Arial"/>
          <w:sz w:val="22"/>
          <w:szCs w:val="22"/>
        </w:rPr>
        <w:t xml:space="preserve"> International review of women’s prisons. </w:t>
      </w:r>
      <w:proofErr w:type="gramStart"/>
      <w:r w:rsidRPr="00163E7C">
        <w:rPr>
          <w:rFonts w:cs="Arial"/>
          <w:i/>
          <w:sz w:val="22"/>
          <w:szCs w:val="22"/>
        </w:rPr>
        <w:t>op</w:t>
      </w:r>
      <w:proofErr w:type="gramEnd"/>
      <w:r w:rsidRPr="00163E7C">
        <w:rPr>
          <w:rFonts w:cs="Arial"/>
          <w:i/>
          <w:sz w:val="22"/>
          <w:szCs w:val="22"/>
        </w:rPr>
        <w:t xml:space="preserve"> cit.</w:t>
      </w:r>
    </w:p>
  </w:endnote>
  <w:endnote w:id="99">
    <w:p w14:paraId="34448542" w14:textId="77777777" w:rsidR="00CD076F" w:rsidRPr="00163E7C" w:rsidRDefault="00CD076F" w:rsidP="00E0469F">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Prison Reform Trust (PRT) (2013) International Good Practice. o</w:t>
      </w:r>
      <w:r w:rsidRPr="00163E7C">
        <w:rPr>
          <w:rFonts w:cs="Arial"/>
          <w:i/>
          <w:sz w:val="22"/>
          <w:szCs w:val="22"/>
        </w:rPr>
        <w:t>p cit.</w:t>
      </w:r>
      <w:r w:rsidRPr="00163E7C">
        <w:rPr>
          <w:rFonts w:cs="Arial"/>
          <w:sz w:val="22"/>
          <w:szCs w:val="22"/>
        </w:rPr>
        <w:t xml:space="preserve"> p34</w:t>
      </w:r>
    </w:p>
  </w:endnote>
  <w:endnote w:id="100">
    <w:p w14:paraId="43B90693"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 xml:space="preserve">Bartels &amp; Gaffney (2011) </w:t>
      </w:r>
      <w:r w:rsidRPr="00163E7C">
        <w:rPr>
          <w:rFonts w:cs="Arial"/>
          <w:i/>
          <w:sz w:val="22"/>
          <w:szCs w:val="22"/>
        </w:rPr>
        <w:t>op cit.</w:t>
      </w:r>
      <w:proofErr w:type="gramEnd"/>
    </w:p>
  </w:endnote>
  <w:endnote w:id="101">
    <w:p w14:paraId="2C3E07D3"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w:t>
      </w:r>
    </w:p>
  </w:endnote>
  <w:endnote w:id="102">
    <w:p w14:paraId="62BEFBFF"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w:t>
      </w:r>
    </w:p>
  </w:endnote>
  <w:endnote w:id="103">
    <w:p w14:paraId="53D65761"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w:t>
      </w:r>
    </w:p>
  </w:endnote>
  <w:endnote w:id="104">
    <w:p w14:paraId="60E2F3BC"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w:t>
      </w:r>
    </w:p>
  </w:endnote>
  <w:endnote w:id="105">
    <w:p w14:paraId="7DAD68C8"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w:t>
      </w:r>
    </w:p>
  </w:endnote>
  <w:endnote w:id="106">
    <w:p w14:paraId="0099B9AB"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See </w:t>
      </w:r>
      <w:proofErr w:type="spellStart"/>
      <w:r w:rsidRPr="00163E7C">
        <w:rPr>
          <w:rFonts w:cs="Arial"/>
          <w:sz w:val="22"/>
          <w:szCs w:val="22"/>
        </w:rPr>
        <w:t>Lappi-Seppala</w:t>
      </w:r>
      <w:proofErr w:type="spellEnd"/>
      <w:r w:rsidRPr="00163E7C">
        <w:rPr>
          <w:rFonts w:cs="Arial"/>
          <w:sz w:val="22"/>
          <w:szCs w:val="22"/>
        </w:rPr>
        <w:t xml:space="preserve"> (2012) “The Scotland 2012 Finnish prison reduction population”</w:t>
      </w:r>
    </w:p>
    <w:p w14:paraId="24749616" w14:textId="77777777" w:rsidR="00CD076F" w:rsidRPr="00163E7C" w:rsidRDefault="00246821" w:rsidP="00072B27">
      <w:pPr>
        <w:pStyle w:val="EndnoteText"/>
        <w:jc w:val="left"/>
        <w:rPr>
          <w:rFonts w:cs="Arial"/>
          <w:sz w:val="22"/>
          <w:szCs w:val="22"/>
        </w:rPr>
      </w:pPr>
      <w:hyperlink r:id="rId38" w:history="1">
        <w:r w:rsidR="00CD076F" w:rsidRPr="00163E7C">
          <w:rPr>
            <w:rStyle w:val="Hyperlink"/>
            <w:rFonts w:cs="Arial"/>
            <w:sz w:val="22"/>
            <w:szCs w:val="22"/>
          </w:rPr>
          <w:t>http://www.chrissmithonline.co.uk/files/scotland-2012-finnish-prison-reduction.pdf</w:t>
        </w:r>
      </w:hyperlink>
      <w:r w:rsidR="00CD076F" w:rsidRPr="00163E7C">
        <w:rPr>
          <w:rFonts w:cs="Arial"/>
          <w:sz w:val="22"/>
          <w:szCs w:val="22"/>
        </w:rPr>
        <w:t xml:space="preserve"> </w:t>
      </w:r>
    </w:p>
  </w:endnote>
  <w:endnote w:id="107">
    <w:p w14:paraId="27AE8FFA"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spellStart"/>
      <w:r w:rsidRPr="00163E7C">
        <w:rPr>
          <w:rFonts w:cs="Arial"/>
          <w:sz w:val="22"/>
          <w:szCs w:val="22"/>
        </w:rPr>
        <w:t>Pratt</w:t>
      </w:r>
      <w:proofErr w:type="gramStart"/>
      <w:r w:rsidRPr="00163E7C">
        <w:rPr>
          <w:rFonts w:cs="Arial"/>
          <w:sz w:val="22"/>
          <w:szCs w:val="22"/>
        </w:rPr>
        <w:t>,J</w:t>
      </w:r>
      <w:proofErr w:type="spellEnd"/>
      <w:proofErr w:type="gramEnd"/>
      <w:r w:rsidRPr="00163E7C">
        <w:rPr>
          <w:rFonts w:cs="Arial"/>
          <w:sz w:val="22"/>
          <w:szCs w:val="22"/>
        </w:rPr>
        <w:t xml:space="preserve">. (2007) </w:t>
      </w:r>
      <w:r w:rsidRPr="00163E7C">
        <w:rPr>
          <w:rFonts w:cs="Arial"/>
          <w:i/>
          <w:sz w:val="22"/>
          <w:szCs w:val="22"/>
        </w:rPr>
        <w:t>op cit.</w:t>
      </w:r>
      <w:r w:rsidRPr="00163E7C">
        <w:rPr>
          <w:rFonts w:cs="Arial"/>
          <w:sz w:val="22"/>
          <w:szCs w:val="22"/>
        </w:rPr>
        <w:t xml:space="preserve"> See also ICPS (2008) International Profile of Women’s Prisons.  </w:t>
      </w:r>
      <w:r w:rsidRPr="00163E7C">
        <w:rPr>
          <w:rFonts w:cs="Arial"/>
          <w:i/>
          <w:sz w:val="22"/>
          <w:szCs w:val="22"/>
        </w:rPr>
        <w:t xml:space="preserve">Op </w:t>
      </w:r>
      <w:proofErr w:type="gramStart"/>
      <w:r w:rsidRPr="00163E7C">
        <w:rPr>
          <w:rFonts w:cs="Arial"/>
          <w:i/>
          <w:sz w:val="22"/>
          <w:szCs w:val="22"/>
        </w:rPr>
        <w:t>cit.</w:t>
      </w:r>
      <w:r w:rsidRPr="00163E7C">
        <w:rPr>
          <w:rFonts w:cs="Arial"/>
          <w:sz w:val="22"/>
          <w:szCs w:val="22"/>
        </w:rPr>
        <w:t>.</w:t>
      </w:r>
      <w:proofErr w:type="gramEnd"/>
    </w:p>
  </w:endnote>
  <w:endnote w:id="108">
    <w:p w14:paraId="6ED641D2"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 p130</w:t>
      </w:r>
    </w:p>
  </w:endnote>
  <w:endnote w:id="109">
    <w:p w14:paraId="2CA80F3D"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Confederation of European Probation (2015) The Prisons of the Future: Results of a short CEP questionnaire among its members.  </w:t>
      </w:r>
      <w:proofErr w:type="gramStart"/>
      <w:r w:rsidRPr="00163E7C">
        <w:rPr>
          <w:rFonts w:cs="Arial"/>
          <w:sz w:val="22"/>
          <w:szCs w:val="22"/>
        </w:rPr>
        <w:t>CEP.</w:t>
      </w:r>
      <w:proofErr w:type="gramEnd"/>
      <w:r w:rsidRPr="00163E7C">
        <w:rPr>
          <w:rFonts w:cs="Arial"/>
          <w:sz w:val="22"/>
          <w:szCs w:val="22"/>
        </w:rPr>
        <w:t xml:space="preserve"> </w:t>
      </w:r>
    </w:p>
  </w:endnote>
  <w:endnote w:id="110">
    <w:p w14:paraId="465D4F48" w14:textId="77777777" w:rsidR="00CD076F" w:rsidRPr="00163E7C" w:rsidRDefault="00CD076F" w:rsidP="002E438C">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 xml:space="preserve">Pratt, J. (2008) </w:t>
      </w:r>
      <w:r w:rsidRPr="00163E7C">
        <w:rPr>
          <w:rFonts w:cs="Arial"/>
          <w:i/>
          <w:sz w:val="22"/>
          <w:szCs w:val="22"/>
        </w:rPr>
        <w:t>op cit.</w:t>
      </w:r>
      <w:proofErr w:type="gramEnd"/>
    </w:p>
  </w:endnote>
  <w:endnote w:id="111">
    <w:p w14:paraId="04B758DF" w14:textId="77777777" w:rsidR="00CD076F" w:rsidRPr="00163E7C" w:rsidRDefault="00CD076F">
      <w:pPr>
        <w:pStyle w:val="EndnoteText"/>
        <w:rPr>
          <w:sz w:val="22"/>
          <w:szCs w:val="22"/>
        </w:rPr>
      </w:pPr>
      <w:r w:rsidRPr="00163E7C">
        <w:rPr>
          <w:rStyle w:val="EndnoteReference"/>
          <w:sz w:val="22"/>
          <w:szCs w:val="22"/>
        </w:rPr>
        <w:endnoteRef/>
      </w:r>
      <w:r w:rsidRPr="00163E7C">
        <w:rPr>
          <w:sz w:val="22"/>
          <w:szCs w:val="22"/>
        </w:rPr>
        <w:t xml:space="preserve"> See News in English.no (21/08/14) Packed prisons turn away convicts. URL: </w:t>
      </w:r>
      <w:hyperlink r:id="rId39" w:history="1">
        <w:r w:rsidRPr="00163E7C">
          <w:rPr>
            <w:rStyle w:val="Hyperlink"/>
            <w:sz w:val="22"/>
            <w:szCs w:val="22"/>
          </w:rPr>
          <w:t>http://www.newsinenglish.no/2014/08/21/packed-prisons-turn-away-convicts/</w:t>
        </w:r>
      </w:hyperlink>
      <w:r w:rsidRPr="00163E7C">
        <w:rPr>
          <w:sz w:val="22"/>
          <w:szCs w:val="22"/>
        </w:rPr>
        <w:t xml:space="preserve"> </w:t>
      </w:r>
    </w:p>
  </w:endnote>
  <w:endnote w:id="112">
    <w:p w14:paraId="08D92314" w14:textId="77777777" w:rsidR="00CD076F" w:rsidRPr="00163E7C" w:rsidRDefault="00CD076F">
      <w:pPr>
        <w:pStyle w:val="EndnoteTex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 xml:space="preserve">Pratt, J. (2007) </w:t>
      </w:r>
      <w:r w:rsidRPr="00163E7C">
        <w:rPr>
          <w:rFonts w:cs="Arial"/>
          <w:i/>
          <w:sz w:val="22"/>
          <w:szCs w:val="22"/>
        </w:rPr>
        <w:t>op cit.</w:t>
      </w:r>
      <w:proofErr w:type="gramEnd"/>
    </w:p>
  </w:endnote>
  <w:endnote w:id="113">
    <w:p w14:paraId="0D23755C" w14:textId="77777777" w:rsidR="00CD076F" w:rsidRPr="00FC6E02" w:rsidRDefault="00CD076F">
      <w:pPr>
        <w:pStyle w:val="EndnoteText"/>
        <w:rPr>
          <w:szCs w:val="22"/>
        </w:rPr>
      </w:pPr>
      <w:r w:rsidRPr="00163E7C">
        <w:rPr>
          <w:rStyle w:val="EndnoteReference"/>
          <w:rFonts w:cs="Arial"/>
          <w:sz w:val="22"/>
          <w:szCs w:val="22"/>
        </w:rPr>
        <w:endnoteRef/>
      </w:r>
      <w:r w:rsidRPr="00163E7C">
        <w:rPr>
          <w:rFonts w:cs="Arial"/>
          <w:sz w:val="22"/>
          <w:szCs w:val="22"/>
        </w:rPr>
        <w:t xml:space="preserve"> </w:t>
      </w:r>
      <w:proofErr w:type="spellStart"/>
      <w:r w:rsidRPr="00163E7C">
        <w:rPr>
          <w:rFonts w:cs="Arial"/>
          <w:sz w:val="22"/>
          <w:szCs w:val="22"/>
        </w:rPr>
        <w:t>Strandberg</w:t>
      </w:r>
      <w:proofErr w:type="spellEnd"/>
      <w:r w:rsidRPr="00163E7C">
        <w:rPr>
          <w:rFonts w:cs="Arial"/>
          <w:sz w:val="22"/>
          <w:szCs w:val="22"/>
        </w:rPr>
        <w:t xml:space="preserve">, K (2010). </w:t>
      </w:r>
      <w:proofErr w:type="gramStart"/>
      <w:r w:rsidRPr="00163E7C">
        <w:rPr>
          <w:rFonts w:cs="Arial"/>
          <w:sz w:val="22"/>
          <w:szCs w:val="22"/>
        </w:rPr>
        <w:t>The Norway Prison System.</w:t>
      </w:r>
      <w:proofErr w:type="gramEnd"/>
      <w:r w:rsidRPr="00163E7C">
        <w:rPr>
          <w:rFonts w:cs="Arial"/>
          <w:sz w:val="22"/>
          <w:szCs w:val="22"/>
        </w:rPr>
        <w:t xml:space="preserve"> Corrections Forum, </w:t>
      </w:r>
      <w:r w:rsidRPr="00163E7C">
        <w:rPr>
          <w:rFonts w:cs="Arial"/>
          <w:sz w:val="22"/>
          <w:szCs w:val="22"/>
          <w:lang w:val="en"/>
        </w:rPr>
        <w:t xml:space="preserve">Vol. 19 Issue 6, </w:t>
      </w:r>
      <w:r w:rsidRPr="00FC6E02">
        <w:rPr>
          <w:rFonts w:cs="Arial"/>
          <w:szCs w:val="22"/>
          <w:lang w:val="en"/>
        </w:rPr>
        <w:t>pp73-77.</w:t>
      </w:r>
    </w:p>
  </w:endnote>
  <w:endnote w:id="114">
    <w:p w14:paraId="2459FBA7" w14:textId="77777777" w:rsidR="00CD076F" w:rsidRPr="00163E7C" w:rsidRDefault="00CD076F">
      <w:pPr>
        <w:pStyle w:val="EndnoteText"/>
        <w:rPr>
          <w:sz w:val="22"/>
          <w:szCs w:val="22"/>
        </w:rPr>
      </w:pPr>
      <w:r w:rsidRPr="00163E7C">
        <w:rPr>
          <w:rStyle w:val="EndnoteReference"/>
          <w:sz w:val="22"/>
          <w:szCs w:val="22"/>
        </w:rPr>
        <w:endnoteRef/>
      </w:r>
      <w:r w:rsidRPr="00163E7C">
        <w:rPr>
          <w:sz w:val="22"/>
          <w:szCs w:val="22"/>
        </w:rPr>
        <w:t xml:space="preserve"> See Sanctions, 2013. </w:t>
      </w:r>
      <w:proofErr w:type="gramStart"/>
      <w:r w:rsidRPr="00163E7C">
        <w:rPr>
          <w:sz w:val="22"/>
          <w:szCs w:val="22"/>
        </w:rPr>
        <w:t>Statistics Norway.</w:t>
      </w:r>
      <w:proofErr w:type="gramEnd"/>
      <w:r w:rsidRPr="00163E7C">
        <w:rPr>
          <w:sz w:val="22"/>
          <w:szCs w:val="22"/>
        </w:rPr>
        <w:t xml:space="preserve"> URL: </w:t>
      </w:r>
      <w:hyperlink r:id="rId40" w:history="1">
        <w:r w:rsidRPr="00163E7C">
          <w:rPr>
            <w:rStyle w:val="Hyperlink"/>
            <w:sz w:val="22"/>
            <w:szCs w:val="22"/>
          </w:rPr>
          <w:t>https://www.ssb.no/en/sosiale-forhold-og-kriminalitet/statistikker/straff</w:t>
        </w:r>
      </w:hyperlink>
      <w:r w:rsidRPr="00163E7C">
        <w:rPr>
          <w:sz w:val="22"/>
          <w:szCs w:val="22"/>
        </w:rPr>
        <w:t xml:space="preserve"> </w:t>
      </w:r>
    </w:p>
  </w:endnote>
  <w:endnote w:id="115">
    <w:p w14:paraId="2B17F61C" w14:textId="77777777" w:rsidR="00CD076F" w:rsidRPr="00163E7C" w:rsidRDefault="00CD076F" w:rsidP="00072B27">
      <w:pPr>
        <w:rPr>
          <w:rFonts w:cs="Arial"/>
          <w:color w:val="333333"/>
          <w:sz w:val="22"/>
          <w:szCs w:val="22"/>
        </w:rPr>
      </w:pPr>
      <w:r w:rsidRPr="00163E7C">
        <w:rPr>
          <w:rStyle w:val="EndnoteReference"/>
          <w:rFonts w:cs="Arial"/>
          <w:sz w:val="22"/>
          <w:szCs w:val="22"/>
        </w:rPr>
        <w:endnoteRef/>
      </w:r>
      <w:r w:rsidRPr="00163E7C">
        <w:rPr>
          <w:rFonts w:cs="Arial"/>
          <w:sz w:val="22"/>
          <w:szCs w:val="22"/>
        </w:rPr>
        <w:t xml:space="preserve"> </w:t>
      </w:r>
      <w:r w:rsidRPr="00163E7C">
        <w:rPr>
          <w:rFonts w:cs="Arial"/>
          <w:sz w:val="22"/>
          <w:szCs w:val="22"/>
          <w:lang w:eastAsia="en-GB"/>
        </w:rPr>
        <w:t>Women in Prison (2012) Report on the Roundtable on Small Custodial Units, 15</w:t>
      </w:r>
      <w:r w:rsidRPr="00163E7C">
        <w:rPr>
          <w:rFonts w:cs="Arial"/>
          <w:sz w:val="22"/>
          <w:szCs w:val="22"/>
          <w:vertAlign w:val="superscript"/>
          <w:lang w:eastAsia="en-GB"/>
        </w:rPr>
        <w:t>th</w:t>
      </w:r>
      <w:r w:rsidRPr="00163E7C">
        <w:rPr>
          <w:rFonts w:cs="Arial"/>
          <w:sz w:val="22"/>
          <w:szCs w:val="22"/>
          <w:lang w:eastAsia="en-GB"/>
        </w:rPr>
        <w:t xml:space="preserve"> May 2012. URL:</w:t>
      </w:r>
    </w:p>
    <w:p w14:paraId="51494BBD" w14:textId="77777777" w:rsidR="00CD076F" w:rsidRPr="00163E7C" w:rsidRDefault="00246821" w:rsidP="00072B27">
      <w:pPr>
        <w:pStyle w:val="EndnoteText"/>
        <w:jc w:val="left"/>
        <w:rPr>
          <w:rFonts w:cs="Arial"/>
          <w:sz w:val="22"/>
          <w:szCs w:val="22"/>
        </w:rPr>
      </w:pPr>
      <w:hyperlink r:id="rId41" w:history="1">
        <w:r w:rsidR="00CD076F" w:rsidRPr="00163E7C">
          <w:rPr>
            <w:rStyle w:val="Hyperlink"/>
            <w:rFonts w:cs="Arial"/>
            <w:sz w:val="22"/>
            <w:szCs w:val="22"/>
          </w:rPr>
          <w:t>http://www.amimb.org.uk/documents/SmallCustodialUnitsReport-finalversion.pdf</w:t>
        </w:r>
      </w:hyperlink>
      <w:r w:rsidR="00CD076F" w:rsidRPr="00163E7C">
        <w:rPr>
          <w:rFonts w:cs="Arial"/>
          <w:sz w:val="22"/>
          <w:szCs w:val="22"/>
        </w:rPr>
        <w:t xml:space="preserve">  </w:t>
      </w:r>
    </w:p>
  </w:endnote>
  <w:endnote w:id="116">
    <w:p w14:paraId="03EB7B03"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Briggs, S. &amp; Taylor, K. (2012) </w:t>
      </w:r>
      <w:r w:rsidRPr="00163E7C">
        <w:rPr>
          <w:rFonts w:cs="Arial"/>
          <w:i/>
          <w:sz w:val="22"/>
          <w:szCs w:val="22"/>
        </w:rPr>
        <w:t>op cit.</w:t>
      </w:r>
    </w:p>
  </w:endnote>
  <w:endnote w:id="117">
    <w:p w14:paraId="7BDAE466" w14:textId="77777777" w:rsidR="00CD076F" w:rsidRPr="00EB29FB" w:rsidRDefault="00CD076F">
      <w:pPr>
        <w:pStyle w:val="EndnoteText"/>
        <w:rPr>
          <w:sz w:val="22"/>
          <w:szCs w:val="22"/>
        </w:rPr>
      </w:pPr>
      <w:r w:rsidRPr="00EB29FB">
        <w:rPr>
          <w:rStyle w:val="EndnoteReference"/>
          <w:sz w:val="22"/>
          <w:szCs w:val="22"/>
        </w:rPr>
        <w:endnoteRef/>
      </w:r>
      <w:r w:rsidRPr="00EB29FB">
        <w:rPr>
          <w:sz w:val="22"/>
          <w:szCs w:val="22"/>
        </w:rPr>
        <w:t xml:space="preserve"> </w:t>
      </w:r>
      <w:proofErr w:type="gramStart"/>
      <w:r w:rsidRPr="00163E7C">
        <w:rPr>
          <w:sz w:val="22"/>
          <w:szCs w:val="22"/>
        </w:rPr>
        <w:t>Public Safety Canada (2012) 2012 Corrections and Conditional Release Statistical Overview.</w:t>
      </w:r>
      <w:proofErr w:type="gramEnd"/>
      <w:r w:rsidRPr="00163E7C">
        <w:rPr>
          <w:sz w:val="22"/>
          <w:szCs w:val="22"/>
        </w:rPr>
        <w:t xml:space="preserve"> URL: </w:t>
      </w:r>
      <w:hyperlink r:id="rId42" w:anchor="c4" w:history="1">
        <w:r w:rsidRPr="00163E7C">
          <w:rPr>
            <w:rStyle w:val="Hyperlink"/>
            <w:sz w:val="22"/>
            <w:szCs w:val="22"/>
          </w:rPr>
          <w:t>http://www.publicsafety.gc.ca/cnt/rsrcs/pblctns/2012-ccrs/index-eng.aspx#c4</w:t>
        </w:r>
      </w:hyperlink>
      <w:r>
        <w:rPr>
          <w:sz w:val="22"/>
          <w:szCs w:val="22"/>
        </w:rPr>
        <w:t xml:space="preserve"> </w:t>
      </w:r>
    </w:p>
  </w:endnote>
  <w:endnote w:id="118">
    <w:p w14:paraId="177913BE" w14:textId="77777777" w:rsidR="00CD076F" w:rsidRPr="00163E7C" w:rsidRDefault="00CD076F" w:rsidP="00236786">
      <w:pPr>
        <w:rPr>
          <w:rFonts w:cs="Arial"/>
          <w:sz w:val="22"/>
          <w:szCs w:val="22"/>
        </w:rPr>
      </w:pPr>
      <w:r w:rsidRPr="00163E7C">
        <w:rPr>
          <w:rStyle w:val="EndnoteReference"/>
          <w:rFonts w:cs="Arial"/>
          <w:sz w:val="22"/>
          <w:szCs w:val="22"/>
        </w:rPr>
        <w:endnoteRef/>
      </w:r>
      <w:r w:rsidRPr="00163E7C">
        <w:rPr>
          <w:rFonts w:cs="Arial"/>
          <w:sz w:val="22"/>
          <w:szCs w:val="22"/>
        </w:rPr>
        <w:t xml:space="preserve"> </w:t>
      </w:r>
      <w:r w:rsidRPr="00163E7C">
        <w:rPr>
          <w:rFonts w:eastAsia="Times New Roman" w:cs="Arial"/>
          <w:sz w:val="22"/>
          <w:szCs w:val="22"/>
        </w:rPr>
        <w:t xml:space="preserve">Prison Reform Trust (PRT) (2013) International Good Practice. </w:t>
      </w:r>
      <w:proofErr w:type="gramStart"/>
      <w:r w:rsidRPr="00163E7C">
        <w:rPr>
          <w:rFonts w:eastAsia="Times New Roman" w:cs="Arial"/>
          <w:i/>
          <w:sz w:val="22"/>
          <w:szCs w:val="22"/>
        </w:rPr>
        <w:t>op</w:t>
      </w:r>
      <w:proofErr w:type="gramEnd"/>
      <w:r w:rsidRPr="00163E7C">
        <w:rPr>
          <w:rFonts w:eastAsia="Times New Roman" w:cs="Arial"/>
          <w:i/>
          <w:sz w:val="22"/>
          <w:szCs w:val="22"/>
        </w:rPr>
        <w:t xml:space="preserve"> cit.</w:t>
      </w:r>
    </w:p>
  </w:endnote>
  <w:endnote w:id="119">
    <w:p w14:paraId="1AF72F13"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 xml:space="preserve">The Correctional Investigator Canada (2007); Pollack (2008), cited in Fair (2009) </w:t>
      </w:r>
      <w:r w:rsidRPr="00163E7C">
        <w:rPr>
          <w:rFonts w:cs="Arial"/>
          <w:i/>
          <w:sz w:val="22"/>
          <w:szCs w:val="22"/>
        </w:rPr>
        <w:t>op cit.</w:t>
      </w:r>
      <w:proofErr w:type="gramEnd"/>
    </w:p>
  </w:endnote>
  <w:endnote w:id="120">
    <w:p w14:paraId="17D5B795"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spellStart"/>
      <w:proofErr w:type="gramStart"/>
      <w:r w:rsidRPr="00163E7C">
        <w:rPr>
          <w:rFonts w:cs="Arial"/>
          <w:sz w:val="22"/>
          <w:szCs w:val="22"/>
        </w:rPr>
        <w:t>Kilty</w:t>
      </w:r>
      <w:proofErr w:type="spellEnd"/>
      <w:r w:rsidRPr="00163E7C">
        <w:rPr>
          <w:rFonts w:cs="Arial"/>
          <w:sz w:val="22"/>
          <w:szCs w:val="22"/>
        </w:rPr>
        <w:t>, J. (2012).</w:t>
      </w:r>
      <w:proofErr w:type="gramEnd"/>
      <w:r w:rsidRPr="00163E7C">
        <w:rPr>
          <w:rFonts w:cs="Arial"/>
          <w:sz w:val="22"/>
          <w:szCs w:val="22"/>
        </w:rPr>
        <w:t xml:space="preserve"> ‘It’s like they don’t want you to get </w:t>
      </w:r>
      <w:proofErr w:type="gramStart"/>
      <w:r w:rsidRPr="00163E7C">
        <w:rPr>
          <w:rFonts w:cs="Arial"/>
          <w:sz w:val="22"/>
          <w:szCs w:val="22"/>
        </w:rPr>
        <w:t>better’ :</w:t>
      </w:r>
      <w:proofErr w:type="gramEnd"/>
      <w:r w:rsidRPr="00163E7C">
        <w:rPr>
          <w:rFonts w:cs="Arial"/>
          <w:sz w:val="22"/>
          <w:szCs w:val="22"/>
        </w:rPr>
        <w:t xml:space="preserve"> </w:t>
      </w:r>
      <w:proofErr w:type="spellStart"/>
      <w:r w:rsidRPr="00163E7C">
        <w:rPr>
          <w:rFonts w:cs="Arial"/>
          <w:sz w:val="22"/>
          <w:szCs w:val="22"/>
        </w:rPr>
        <w:t>Psy.control</w:t>
      </w:r>
      <w:proofErr w:type="spellEnd"/>
      <w:r w:rsidRPr="00163E7C">
        <w:rPr>
          <w:rFonts w:cs="Arial"/>
          <w:sz w:val="22"/>
          <w:szCs w:val="22"/>
        </w:rPr>
        <w:t xml:space="preserve"> of women in the </w:t>
      </w:r>
      <w:proofErr w:type="spellStart"/>
      <w:r w:rsidRPr="00163E7C">
        <w:rPr>
          <w:rFonts w:cs="Arial"/>
          <w:sz w:val="22"/>
          <w:szCs w:val="22"/>
        </w:rPr>
        <w:t>carceral</w:t>
      </w:r>
      <w:proofErr w:type="spellEnd"/>
      <w:r w:rsidRPr="00163E7C">
        <w:rPr>
          <w:rFonts w:cs="Arial"/>
          <w:sz w:val="22"/>
          <w:szCs w:val="22"/>
        </w:rPr>
        <w:t xml:space="preserve"> context. Feminism &amp; Psychology  Vol. 22 Issue 2, p162-182</w:t>
      </w:r>
    </w:p>
  </w:endnote>
  <w:endnote w:id="121">
    <w:p w14:paraId="7CF09422" w14:textId="77777777" w:rsidR="00CD076F" w:rsidRPr="00163E7C" w:rsidRDefault="00CD076F" w:rsidP="00072B27">
      <w:pPr>
        <w:tabs>
          <w:tab w:val="clear" w:pos="720"/>
          <w:tab w:val="clear" w:pos="1440"/>
          <w:tab w:val="clear" w:pos="2160"/>
          <w:tab w:val="clear" w:pos="2880"/>
          <w:tab w:val="clear" w:pos="4680"/>
          <w:tab w:val="clear" w:pos="5400"/>
          <w:tab w:val="clear" w:pos="9000"/>
        </w:tabs>
        <w:spacing w:line="240" w:lineRule="auto"/>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Barrett, M. R., Allenby, K., &amp; Taylor, K. (2010).</w:t>
      </w:r>
      <w:proofErr w:type="gramEnd"/>
      <w:r w:rsidRPr="00163E7C">
        <w:rPr>
          <w:rFonts w:cs="Arial"/>
          <w:sz w:val="22"/>
          <w:szCs w:val="22"/>
        </w:rPr>
        <w:t xml:space="preserve"> </w:t>
      </w:r>
      <w:r w:rsidRPr="00163E7C">
        <w:rPr>
          <w:rFonts w:cs="Arial"/>
          <w:iCs/>
          <w:sz w:val="22"/>
          <w:szCs w:val="22"/>
        </w:rPr>
        <w:t xml:space="preserve">Twenty years later: Revisiting The Task Force on Federally Sentenced Women. </w:t>
      </w:r>
      <w:proofErr w:type="gramStart"/>
      <w:r w:rsidRPr="00163E7C">
        <w:rPr>
          <w:rFonts w:cs="Arial"/>
          <w:sz w:val="22"/>
          <w:szCs w:val="22"/>
        </w:rPr>
        <w:t>Research Report R-222.</w:t>
      </w:r>
      <w:proofErr w:type="gramEnd"/>
      <w:r w:rsidRPr="00163E7C">
        <w:rPr>
          <w:rFonts w:cs="Arial"/>
          <w:sz w:val="22"/>
          <w:szCs w:val="22"/>
        </w:rPr>
        <w:t xml:space="preserve"> Ottawa: Correctional Service Canada. URL: </w:t>
      </w:r>
      <w:hyperlink r:id="rId43" w:history="1">
        <w:r w:rsidRPr="00163E7C">
          <w:rPr>
            <w:rStyle w:val="Hyperlink"/>
            <w:rFonts w:cs="Arial"/>
            <w:sz w:val="22"/>
            <w:szCs w:val="22"/>
          </w:rPr>
          <w:t>http://www.csc-scc.gc.ca/research/005008-0222-eng.shtml</w:t>
        </w:r>
      </w:hyperlink>
      <w:r w:rsidRPr="00163E7C">
        <w:rPr>
          <w:rFonts w:cs="Arial"/>
          <w:sz w:val="22"/>
          <w:szCs w:val="22"/>
        </w:rPr>
        <w:t xml:space="preserve"> </w:t>
      </w:r>
    </w:p>
  </w:endnote>
  <w:endnote w:id="122">
    <w:p w14:paraId="346FE7B8"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Bartels &amp; Gaffney (2011) </w:t>
      </w:r>
      <w:r w:rsidRPr="00163E7C">
        <w:rPr>
          <w:rFonts w:cs="Arial"/>
          <w:i/>
          <w:sz w:val="22"/>
          <w:szCs w:val="22"/>
        </w:rPr>
        <w:t xml:space="preserve">Op </w:t>
      </w:r>
      <w:proofErr w:type="gramStart"/>
      <w:r w:rsidRPr="00163E7C">
        <w:rPr>
          <w:rFonts w:cs="Arial"/>
          <w:i/>
          <w:sz w:val="22"/>
          <w:szCs w:val="22"/>
        </w:rPr>
        <w:t>cit.</w:t>
      </w:r>
      <w:r w:rsidRPr="00163E7C">
        <w:rPr>
          <w:rFonts w:cs="Arial"/>
          <w:sz w:val="22"/>
          <w:szCs w:val="22"/>
        </w:rPr>
        <w:t>.</w:t>
      </w:r>
      <w:proofErr w:type="gramEnd"/>
      <w:r w:rsidRPr="00163E7C">
        <w:rPr>
          <w:rFonts w:cs="Arial"/>
          <w:sz w:val="22"/>
          <w:szCs w:val="22"/>
        </w:rPr>
        <w:t xml:space="preserve"> citing </w:t>
      </w:r>
      <w:proofErr w:type="spellStart"/>
      <w:r w:rsidRPr="00163E7C">
        <w:rPr>
          <w:rFonts w:cs="Arial"/>
          <w:sz w:val="22"/>
          <w:szCs w:val="22"/>
        </w:rPr>
        <w:t>Glube</w:t>
      </w:r>
      <w:proofErr w:type="spellEnd"/>
      <w:r w:rsidRPr="00163E7C">
        <w:rPr>
          <w:rFonts w:cs="Arial"/>
          <w:sz w:val="22"/>
          <w:szCs w:val="22"/>
        </w:rPr>
        <w:t xml:space="preserve"> et al (2007) </w:t>
      </w:r>
    </w:p>
  </w:endnote>
  <w:endnote w:id="123">
    <w:p w14:paraId="441951FD" w14:textId="77777777" w:rsidR="00CD076F" w:rsidRDefault="00CD076F"/>
  </w:endnote>
  <w:endnote w:id="124">
    <w:p w14:paraId="1A6B3014"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ICPS (2008) International Profile of Women’s Prisons.</w:t>
      </w:r>
      <w:proofErr w:type="gramEnd"/>
      <w:r w:rsidRPr="00163E7C">
        <w:rPr>
          <w:rFonts w:cs="Arial"/>
          <w:sz w:val="22"/>
          <w:szCs w:val="22"/>
        </w:rPr>
        <w:t xml:space="preserve">  </w:t>
      </w:r>
      <w:r w:rsidRPr="00163E7C">
        <w:rPr>
          <w:rFonts w:cs="Arial"/>
          <w:i/>
          <w:sz w:val="22"/>
          <w:szCs w:val="22"/>
        </w:rPr>
        <w:t>op cit.</w:t>
      </w:r>
      <w:r w:rsidRPr="00163E7C">
        <w:rPr>
          <w:rFonts w:cs="Arial"/>
          <w:sz w:val="22"/>
          <w:szCs w:val="22"/>
        </w:rPr>
        <w:t xml:space="preserve"> p7</w:t>
      </w:r>
    </w:p>
  </w:endnote>
  <w:endnote w:id="125">
    <w:p w14:paraId="1D202897"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Barrett, Allenby, &amp; Taylor, (2010) Twenty Years Later.</w:t>
      </w:r>
      <w:proofErr w:type="gramEnd"/>
      <w:r w:rsidRPr="00163E7C">
        <w:rPr>
          <w:rFonts w:cs="Arial"/>
          <w:sz w:val="22"/>
          <w:szCs w:val="22"/>
        </w:rPr>
        <w:t xml:space="preserve"> </w:t>
      </w:r>
      <w:proofErr w:type="gramStart"/>
      <w:r w:rsidRPr="00163E7C">
        <w:rPr>
          <w:rFonts w:cs="Arial"/>
          <w:i/>
          <w:sz w:val="22"/>
          <w:szCs w:val="22"/>
        </w:rPr>
        <w:t>op</w:t>
      </w:r>
      <w:proofErr w:type="gramEnd"/>
      <w:r w:rsidRPr="00163E7C">
        <w:rPr>
          <w:rFonts w:cs="Arial"/>
          <w:i/>
          <w:sz w:val="22"/>
          <w:szCs w:val="22"/>
        </w:rPr>
        <w:t xml:space="preserve"> cit.</w:t>
      </w:r>
    </w:p>
  </w:endnote>
  <w:endnote w:id="126">
    <w:p w14:paraId="75C1DA9B"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ICPS (2008) International Profile of Women’s Prisons.</w:t>
      </w:r>
      <w:proofErr w:type="gramEnd"/>
      <w:r w:rsidRPr="00163E7C">
        <w:rPr>
          <w:rFonts w:cs="Arial"/>
          <w:sz w:val="22"/>
          <w:szCs w:val="22"/>
        </w:rPr>
        <w:t xml:space="preserve"> </w:t>
      </w:r>
      <w:proofErr w:type="gramStart"/>
      <w:r w:rsidRPr="00163E7C">
        <w:rPr>
          <w:rFonts w:cs="Arial"/>
          <w:i/>
          <w:sz w:val="22"/>
          <w:szCs w:val="22"/>
        </w:rPr>
        <w:t>op</w:t>
      </w:r>
      <w:proofErr w:type="gramEnd"/>
      <w:r w:rsidRPr="00163E7C">
        <w:rPr>
          <w:rFonts w:cs="Arial"/>
          <w:i/>
          <w:sz w:val="22"/>
          <w:szCs w:val="22"/>
        </w:rPr>
        <w:t xml:space="preserve"> cit.</w:t>
      </w:r>
    </w:p>
  </w:endnote>
  <w:endnote w:id="127">
    <w:p w14:paraId="28EC5D87"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 p5</w:t>
      </w:r>
    </w:p>
  </w:endnote>
  <w:endnote w:id="128">
    <w:p w14:paraId="0ECCC935" w14:textId="77777777" w:rsidR="00CD076F" w:rsidRPr="00EB29FB" w:rsidRDefault="00CD076F">
      <w:pPr>
        <w:pStyle w:val="EndnoteText"/>
        <w:rPr>
          <w:sz w:val="22"/>
          <w:szCs w:val="22"/>
        </w:rPr>
      </w:pPr>
      <w:r w:rsidRPr="00EB29FB">
        <w:rPr>
          <w:rStyle w:val="EndnoteReference"/>
          <w:sz w:val="22"/>
          <w:szCs w:val="22"/>
        </w:rPr>
        <w:endnoteRef/>
      </w:r>
      <w:r w:rsidRPr="00EB29FB">
        <w:rPr>
          <w:sz w:val="22"/>
          <w:szCs w:val="22"/>
        </w:rPr>
        <w:t xml:space="preserve"> See Directorate of Norwegian Correctional Service Website URL: </w:t>
      </w:r>
      <w:hyperlink r:id="rId44" w:history="1">
        <w:r w:rsidRPr="00EB29FB">
          <w:rPr>
            <w:rStyle w:val="Hyperlink"/>
            <w:sz w:val="22"/>
            <w:szCs w:val="22"/>
          </w:rPr>
          <w:t>http://www.kriminalomsorgen.no/information-in-english.265199.no.html</w:t>
        </w:r>
      </w:hyperlink>
      <w:r w:rsidRPr="00EB29FB">
        <w:rPr>
          <w:sz w:val="22"/>
          <w:szCs w:val="22"/>
        </w:rPr>
        <w:t xml:space="preserve"> </w:t>
      </w:r>
    </w:p>
  </w:endnote>
  <w:endnote w:id="129">
    <w:p w14:paraId="614F9C77"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Bartels &amp; Gaffney (2011) </w:t>
      </w:r>
      <w:r w:rsidRPr="00163E7C">
        <w:rPr>
          <w:rFonts w:cs="Arial"/>
          <w:i/>
          <w:sz w:val="22"/>
          <w:szCs w:val="22"/>
        </w:rPr>
        <w:t>op cit.</w:t>
      </w:r>
      <w:r w:rsidRPr="00163E7C">
        <w:rPr>
          <w:rFonts w:cs="Arial"/>
          <w:sz w:val="22"/>
          <w:szCs w:val="22"/>
        </w:rPr>
        <w:t xml:space="preserve"> citing </w:t>
      </w:r>
      <w:proofErr w:type="spellStart"/>
      <w:r w:rsidRPr="00163E7C">
        <w:rPr>
          <w:rFonts w:cs="Arial"/>
          <w:sz w:val="22"/>
          <w:szCs w:val="22"/>
        </w:rPr>
        <w:t>Salamone</w:t>
      </w:r>
      <w:proofErr w:type="spellEnd"/>
      <w:r w:rsidRPr="00163E7C">
        <w:rPr>
          <w:rFonts w:cs="Arial"/>
          <w:sz w:val="22"/>
          <w:szCs w:val="22"/>
        </w:rPr>
        <w:t xml:space="preserve"> (2004) </w:t>
      </w:r>
    </w:p>
  </w:endnote>
  <w:endnote w:id="130">
    <w:p w14:paraId="4632737F"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These figures are taken from the ICPS (2008) International Profile of Women’s Prisons. (</w:t>
      </w:r>
      <w:proofErr w:type="gramStart"/>
      <w:r w:rsidRPr="00163E7C">
        <w:rPr>
          <w:rFonts w:cs="Arial"/>
          <w:i/>
          <w:sz w:val="22"/>
          <w:szCs w:val="22"/>
        </w:rPr>
        <w:t>op</w:t>
      </w:r>
      <w:proofErr w:type="gramEnd"/>
      <w:r w:rsidRPr="00163E7C">
        <w:rPr>
          <w:rFonts w:cs="Arial"/>
          <w:i/>
          <w:sz w:val="22"/>
          <w:szCs w:val="22"/>
        </w:rPr>
        <w:t xml:space="preserve"> cit.</w:t>
      </w:r>
      <w:r w:rsidRPr="00163E7C">
        <w:rPr>
          <w:rFonts w:cs="Arial"/>
          <w:sz w:val="22"/>
          <w:szCs w:val="22"/>
        </w:rPr>
        <w:t xml:space="preserve">.) </w:t>
      </w:r>
      <w:proofErr w:type="gramStart"/>
      <w:r w:rsidRPr="00163E7C">
        <w:rPr>
          <w:rFonts w:cs="Arial"/>
          <w:sz w:val="22"/>
          <w:szCs w:val="22"/>
        </w:rPr>
        <w:t>and</w:t>
      </w:r>
      <w:proofErr w:type="gramEnd"/>
      <w:r w:rsidRPr="00163E7C">
        <w:rPr>
          <w:rFonts w:cs="Arial"/>
          <w:sz w:val="22"/>
          <w:szCs w:val="22"/>
        </w:rPr>
        <w:t xml:space="preserve"> may therefore no longer be accurate.  </w:t>
      </w:r>
    </w:p>
  </w:endnote>
  <w:endnote w:id="131">
    <w:p w14:paraId="1885A90E"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ICPS (2008) International Profile of Women’s Prisons.</w:t>
      </w:r>
      <w:proofErr w:type="gramEnd"/>
      <w:r w:rsidRPr="00163E7C">
        <w:rPr>
          <w:rFonts w:cs="Arial"/>
          <w:sz w:val="22"/>
          <w:szCs w:val="22"/>
        </w:rPr>
        <w:t xml:space="preserve"> </w:t>
      </w:r>
      <w:proofErr w:type="gramStart"/>
      <w:r w:rsidRPr="00163E7C">
        <w:rPr>
          <w:rFonts w:cs="Arial"/>
          <w:i/>
          <w:sz w:val="22"/>
          <w:szCs w:val="22"/>
        </w:rPr>
        <w:t>op</w:t>
      </w:r>
      <w:proofErr w:type="gramEnd"/>
      <w:r w:rsidRPr="00163E7C">
        <w:rPr>
          <w:rFonts w:cs="Arial"/>
          <w:i/>
          <w:sz w:val="22"/>
          <w:szCs w:val="22"/>
        </w:rPr>
        <w:t xml:space="preserve"> cit.</w:t>
      </w:r>
    </w:p>
  </w:endnote>
  <w:endnote w:id="132">
    <w:p w14:paraId="5AB3305D"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Bartels &amp; Gaffney (2011) </w:t>
      </w:r>
      <w:r w:rsidRPr="00163E7C">
        <w:rPr>
          <w:rFonts w:cs="Arial"/>
          <w:i/>
          <w:sz w:val="22"/>
          <w:szCs w:val="22"/>
        </w:rPr>
        <w:t>op cit.</w:t>
      </w:r>
      <w:r w:rsidRPr="00163E7C">
        <w:rPr>
          <w:rFonts w:cs="Arial"/>
          <w:sz w:val="22"/>
          <w:szCs w:val="22"/>
        </w:rPr>
        <w:t xml:space="preserve"> (Executive Summary)</w:t>
      </w:r>
    </w:p>
  </w:endnote>
  <w:endnote w:id="133">
    <w:p w14:paraId="2753350E"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w:t>
      </w:r>
    </w:p>
  </w:endnote>
  <w:endnote w:id="134">
    <w:p w14:paraId="3E2728B0"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ICPS (2008) International Profile of Women’s Prisons.</w:t>
      </w:r>
      <w:proofErr w:type="gramEnd"/>
      <w:r w:rsidRPr="00163E7C">
        <w:rPr>
          <w:rFonts w:cs="Arial"/>
          <w:sz w:val="22"/>
          <w:szCs w:val="22"/>
        </w:rPr>
        <w:t xml:space="preserve"> </w:t>
      </w:r>
      <w:proofErr w:type="gramStart"/>
      <w:r w:rsidRPr="00163E7C">
        <w:rPr>
          <w:rFonts w:cs="Arial"/>
          <w:i/>
          <w:sz w:val="22"/>
          <w:szCs w:val="22"/>
        </w:rPr>
        <w:t>op</w:t>
      </w:r>
      <w:proofErr w:type="gramEnd"/>
      <w:r w:rsidRPr="00163E7C">
        <w:rPr>
          <w:rFonts w:cs="Arial"/>
          <w:i/>
          <w:sz w:val="22"/>
          <w:szCs w:val="22"/>
        </w:rPr>
        <w:t xml:space="preserve"> cit.</w:t>
      </w:r>
    </w:p>
  </w:endnote>
  <w:endnote w:id="135">
    <w:p w14:paraId="7F50B02A"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 xml:space="preserve">Bartels &amp; Gaffney (2011) </w:t>
      </w:r>
      <w:r w:rsidRPr="00163E7C">
        <w:rPr>
          <w:rFonts w:cs="Arial"/>
          <w:i/>
          <w:sz w:val="22"/>
          <w:szCs w:val="22"/>
        </w:rPr>
        <w:t>op cit.</w:t>
      </w:r>
      <w:proofErr w:type="gramEnd"/>
    </w:p>
  </w:endnote>
  <w:endnote w:id="136">
    <w:p w14:paraId="55833F5B" w14:textId="77777777" w:rsidR="00CD076F" w:rsidRPr="00163E7C" w:rsidRDefault="00CD076F" w:rsidP="00072B27">
      <w:pPr>
        <w:rPr>
          <w:rFonts w:cs="Arial"/>
          <w:sz w:val="22"/>
          <w:szCs w:val="22"/>
        </w:rPr>
      </w:pPr>
      <w:r w:rsidRPr="00163E7C">
        <w:rPr>
          <w:rStyle w:val="EndnoteReference"/>
          <w:rFonts w:cs="Arial"/>
          <w:sz w:val="22"/>
          <w:szCs w:val="22"/>
        </w:rPr>
        <w:endnoteRef/>
      </w:r>
      <w:r w:rsidRPr="00163E7C">
        <w:rPr>
          <w:rFonts w:cs="Arial"/>
          <w:sz w:val="22"/>
          <w:szCs w:val="22"/>
        </w:rPr>
        <w:t xml:space="preserve"> See: </w:t>
      </w:r>
      <w:hyperlink r:id="rId45" w:history="1">
        <w:r w:rsidRPr="00163E7C">
          <w:rPr>
            <w:rStyle w:val="Hyperlink"/>
            <w:rFonts w:cs="Arial"/>
            <w:sz w:val="22"/>
            <w:szCs w:val="22"/>
          </w:rPr>
          <w:t>http://www.kriminalomsorgen.no/index.php?cat=265199</w:t>
        </w:r>
      </w:hyperlink>
      <w:r w:rsidRPr="00163E7C">
        <w:rPr>
          <w:rFonts w:cs="Arial"/>
          <w:sz w:val="22"/>
          <w:szCs w:val="22"/>
        </w:rPr>
        <w:t xml:space="preserve"> </w:t>
      </w:r>
    </w:p>
  </w:endnote>
  <w:endnote w:id="137">
    <w:p w14:paraId="272268E4"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 xml:space="preserve">Bartels &amp; Gaffney (2011) </w:t>
      </w:r>
      <w:r w:rsidRPr="00163E7C">
        <w:rPr>
          <w:rFonts w:cs="Arial"/>
          <w:i/>
          <w:sz w:val="22"/>
          <w:szCs w:val="22"/>
        </w:rPr>
        <w:t>op cit.</w:t>
      </w:r>
      <w:proofErr w:type="gramEnd"/>
    </w:p>
  </w:endnote>
  <w:endnote w:id="138">
    <w:p w14:paraId="6E1EBCB4"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w:t>
      </w:r>
    </w:p>
  </w:endnote>
  <w:endnote w:id="139">
    <w:p w14:paraId="2C3A4957"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w:t>
      </w:r>
    </w:p>
  </w:endnote>
  <w:endnote w:id="140">
    <w:p w14:paraId="531C6380"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Fair (2009) </w:t>
      </w:r>
      <w:r w:rsidRPr="00163E7C">
        <w:rPr>
          <w:rFonts w:cs="Arial"/>
          <w:i/>
          <w:sz w:val="22"/>
          <w:szCs w:val="22"/>
        </w:rPr>
        <w:t xml:space="preserve">op </w:t>
      </w:r>
      <w:proofErr w:type="gramStart"/>
      <w:r w:rsidRPr="00163E7C">
        <w:rPr>
          <w:rFonts w:cs="Arial"/>
          <w:i/>
          <w:sz w:val="22"/>
          <w:szCs w:val="22"/>
        </w:rPr>
        <w:t>cit.</w:t>
      </w:r>
      <w:r w:rsidRPr="00163E7C">
        <w:rPr>
          <w:rFonts w:cs="Arial"/>
          <w:sz w:val="22"/>
          <w:szCs w:val="22"/>
        </w:rPr>
        <w:t>.</w:t>
      </w:r>
      <w:proofErr w:type="gramEnd"/>
    </w:p>
  </w:endnote>
  <w:endnote w:id="141">
    <w:p w14:paraId="0321F7A0"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bookmarkStart w:id="45" w:name="R9"/>
      <w:r w:rsidRPr="00163E7C">
        <w:rPr>
          <w:rFonts w:cs="Arial"/>
          <w:sz w:val="22"/>
          <w:szCs w:val="22"/>
        </w:rPr>
        <w:t xml:space="preserve">WHO/UNODC (2009) </w:t>
      </w:r>
      <w:r w:rsidRPr="00163E7C">
        <w:rPr>
          <w:rStyle w:val="Emphasis"/>
          <w:rFonts w:cs="Arial"/>
          <w:i w:val="0"/>
          <w:sz w:val="22"/>
          <w:szCs w:val="22"/>
        </w:rPr>
        <w:t>Declaration on women’s health in prison: correcting gender inequity in prison health</w:t>
      </w:r>
      <w:r w:rsidRPr="00163E7C">
        <w:rPr>
          <w:rFonts w:cs="Arial"/>
          <w:sz w:val="22"/>
          <w:szCs w:val="22"/>
        </w:rPr>
        <w:t>. Copenhagen &amp; Vienna: World Health Organization Regional Office for Europe &amp; United Nations Office on Drugs and Crime</w:t>
      </w:r>
      <w:bookmarkEnd w:id="45"/>
      <w:r w:rsidRPr="00163E7C">
        <w:rPr>
          <w:rFonts w:cs="Arial"/>
          <w:sz w:val="22"/>
          <w:szCs w:val="22"/>
        </w:rPr>
        <w:t>.</w:t>
      </w:r>
    </w:p>
  </w:endnote>
  <w:endnote w:id="142">
    <w:p w14:paraId="49256B99"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 xml:space="preserve">Bartels &amp; Gaffney (2011) </w:t>
      </w:r>
      <w:r w:rsidRPr="00163E7C">
        <w:rPr>
          <w:rFonts w:cs="Arial"/>
          <w:i/>
          <w:sz w:val="22"/>
          <w:szCs w:val="22"/>
        </w:rPr>
        <w:t>op cit.</w:t>
      </w:r>
      <w:proofErr w:type="gramEnd"/>
    </w:p>
  </w:endnote>
  <w:endnote w:id="143">
    <w:p w14:paraId="3B9DA872"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Ibid.</w:t>
      </w:r>
      <w:r w:rsidRPr="00163E7C">
        <w:rPr>
          <w:rFonts w:cs="Arial"/>
          <w:iCs/>
          <w:sz w:val="22"/>
          <w:szCs w:val="22"/>
          <w:lang w:eastAsia="en-GB"/>
        </w:rPr>
        <w:t xml:space="preserve"> (pp51-59).</w:t>
      </w:r>
      <w:proofErr w:type="gramEnd"/>
    </w:p>
  </w:endnote>
  <w:endnote w:id="144">
    <w:p w14:paraId="2A54026B"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ICPS (2008) International Profile of Women’s Prisons.</w:t>
      </w:r>
      <w:proofErr w:type="gramEnd"/>
      <w:r w:rsidRPr="00163E7C">
        <w:rPr>
          <w:rFonts w:cs="Arial"/>
          <w:sz w:val="22"/>
          <w:szCs w:val="22"/>
        </w:rPr>
        <w:t xml:space="preserve">  </w:t>
      </w:r>
      <w:proofErr w:type="gramStart"/>
      <w:r w:rsidRPr="00163E7C">
        <w:rPr>
          <w:rFonts w:cs="Arial"/>
          <w:i/>
          <w:sz w:val="22"/>
          <w:szCs w:val="22"/>
        </w:rPr>
        <w:t>op</w:t>
      </w:r>
      <w:proofErr w:type="gramEnd"/>
      <w:r w:rsidRPr="00163E7C">
        <w:rPr>
          <w:rFonts w:cs="Arial"/>
          <w:i/>
          <w:sz w:val="22"/>
          <w:szCs w:val="22"/>
        </w:rPr>
        <w:t xml:space="preserve"> cit.</w:t>
      </w:r>
    </w:p>
  </w:endnote>
  <w:endnote w:id="145">
    <w:p w14:paraId="73ED9703"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 p7</w:t>
      </w:r>
    </w:p>
  </w:endnote>
  <w:endnote w:id="146">
    <w:p w14:paraId="7CC74D9D"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spellStart"/>
      <w:r w:rsidRPr="00163E7C">
        <w:rPr>
          <w:rFonts w:cs="Arial"/>
          <w:sz w:val="22"/>
          <w:szCs w:val="22"/>
        </w:rPr>
        <w:t>Liebling</w:t>
      </w:r>
      <w:proofErr w:type="spellEnd"/>
      <w:r w:rsidRPr="00163E7C">
        <w:rPr>
          <w:rFonts w:cs="Arial"/>
          <w:sz w:val="22"/>
          <w:szCs w:val="22"/>
        </w:rPr>
        <w:t xml:space="preserve">, A. &amp; Arnold, H. (2005) Prisons and their Moral Performance: A Study of Values, Quality and Prison Life.  </w:t>
      </w:r>
      <w:proofErr w:type="spellStart"/>
      <w:r w:rsidRPr="00163E7C">
        <w:rPr>
          <w:rFonts w:cs="Arial"/>
          <w:sz w:val="22"/>
          <w:szCs w:val="22"/>
        </w:rPr>
        <w:t>Clarenden</w:t>
      </w:r>
      <w:proofErr w:type="spellEnd"/>
      <w:r w:rsidRPr="00163E7C">
        <w:rPr>
          <w:rFonts w:cs="Arial"/>
          <w:sz w:val="22"/>
          <w:szCs w:val="22"/>
        </w:rPr>
        <w:t xml:space="preserve"> Studies in Criminology: Oxford University Press.</w:t>
      </w:r>
    </w:p>
  </w:endnote>
  <w:endnote w:id="147">
    <w:p w14:paraId="04F9863C" w14:textId="77777777" w:rsidR="00CD076F" w:rsidRPr="00163E7C" w:rsidRDefault="00CD076F" w:rsidP="0010452C">
      <w:pPr>
        <w:pStyle w:val="EndnoteText"/>
        <w:rPr>
          <w:sz w:val="22"/>
          <w:szCs w:val="22"/>
        </w:rPr>
      </w:pPr>
      <w:r w:rsidRPr="00163E7C">
        <w:rPr>
          <w:rStyle w:val="EndnoteReference"/>
          <w:sz w:val="22"/>
          <w:szCs w:val="22"/>
        </w:rPr>
        <w:endnoteRef/>
      </w:r>
      <w:r w:rsidRPr="00163E7C">
        <w:rPr>
          <w:sz w:val="22"/>
          <w:szCs w:val="22"/>
        </w:rPr>
        <w:t xml:space="preserve"> See </w:t>
      </w:r>
      <w:hyperlink r:id="rId46" w:history="1">
        <w:r w:rsidRPr="00163E7C">
          <w:rPr>
            <w:rStyle w:val="Hyperlink"/>
            <w:sz w:val="22"/>
            <w:szCs w:val="22"/>
          </w:rPr>
          <w:t>http://www.justiceinspectorates.gov.uk/hmiprisons/about-our-inspections/inspection-criteria/</w:t>
        </w:r>
      </w:hyperlink>
      <w:r w:rsidRPr="00163E7C">
        <w:rPr>
          <w:sz w:val="22"/>
          <w:szCs w:val="22"/>
        </w:rPr>
        <w:t xml:space="preserve"> </w:t>
      </w:r>
    </w:p>
  </w:endnote>
  <w:endnote w:id="148">
    <w:p w14:paraId="739F6B8F" w14:textId="77777777" w:rsidR="00CD076F" w:rsidRPr="00163E7C" w:rsidRDefault="00CD076F" w:rsidP="00E02076">
      <w:pPr>
        <w:pStyle w:val="EndnoteText"/>
        <w:jc w:val="left"/>
        <w:rPr>
          <w:sz w:val="22"/>
          <w:szCs w:val="22"/>
        </w:rPr>
      </w:pPr>
      <w:r w:rsidRPr="00163E7C">
        <w:rPr>
          <w:rStyle w:val="EndnoteReference"/>
          <w:sz w:val="22"/>
          <w:szCs w:val="22"/>
        </w:rPr>
        <w:endnoteRef/>
      </w:r>
      <w:r w:rsidRPr="00163E7C">
        <w:rPr>
          <w:sz w:val="22"/>
          <w:szCs w:val="22"/>
        </w:rPr>
        <w:t xml:space="preserve"> </w:t>
      </w:r>
      <w:proofErr w:type="gramStart"/>
      <w:r w:rsidRPr="00163E7C">
        <w:rPr>
          <w:sz w:val="22"/>
          <w:szCs w:val="22"/>
        </w:rPr>
        <w:t>HM Inspectorate of Prisons for Scotland (HMIPS) (2015) Standards for Inspecting and Monitoring of Prisons in Scotland.</w:t>
      </w:r>
      <w:proofErr w:type="gramEnd"/>
      <w:r w:rsidRPr="00163E7C">
        <w:rPr>
          <w:sz w:val="22"/>
          <w:szCs w:val="22"/>
        </w:rPr>
        <w:t xml:space="preserve"> </w:t>
      </w:r>
      <w:proofErr w:type="gramStart"/>
      <w:r w:rsidRPr="00163E7C">
        <w:rPr>
          <w:sz w:val="22"/>
          <w:szCs w:val="22"/>
        </w:rPr>
        <w:t>HMIPS.</w:t>
      </w:r>
      <w:proofErr w:type="gramEnd"/>
      <w:r w:rsidRPr="00163E7C">
        <w:rPr>
          <w:sz w:val="22"/>
          <w:szCs w:val="22"/>
        </w:rPr>
        <w:t xml:space="preserve"> URL: </w:t>
      </w:r>
      <w:hyperlink r:id="rId47" w:anchor="res472788" w:history="1">
        <w:r w:rsidRPr="00163E7C">
          <w:rPr>
            <w:rStyle w:val="Hyperlink"/>
            <w:sz w:val="22"/>
            <w:szCs w:val="22"/>
          </w:rPr>
          <w:t>http://www.gov.scot/Publications/2015/03/8256/downloads#res472788</w:t>
        </w:r>
      </w:hyperlink>
      <w:r w:rsidRPr="00163E7C">
        <w:rPr>
          <w:sz w:val="22"/>
          <w:szCs w:val="22"/>
        </w:rPr>
        <w:t xml:space="preserve"> </w:t>
      </w:r>
    </w:p>
  </w:endnote>
  <w:endnote w:id="149">
    <w:p w14:paraId="45EE3CE4" w14:textId="77777777" w:rsidR="00CD076F" w:rsidRPr="00163E7C" w:rsidRDefault="00CD076F" w:rsidP="00072B27">
      <w:pPr>
        <w:rPr>
          <w:rFonts w:cs="Arial"/>
          <w:sz w:val="22"/>
          <w:szCs w:val="22"/>
        </w:rPr>
      </w:pPr>
      <w:r w:rsidRPr="00163E7C">
        <w:rPr>
          <w:rStyle w:val="EndnoteReference"/>
          <w:rFonts w:cs="Arial"/>
          <w:sz w:val="22"/>
          <w:szCs w:val="22"/>
        </w:rPr>
        <w:endnoteRef/>
      </w:r>
      <w:r w:rsidRPr="00163E7C">
        <w:rPr>
          <w:rFonts w:cs="Arial"/>
          <w:sz w:val="22"/>
          <w:szCs w:val="22"/>
        </w:rPr>
        <w:t xml:space="preserve"> See ‘Prisons of the Future Project’ at </w:t>
      </w:r>
      <w:hyperlink r:id="rId48" w:history="1">
        <w:r w:rsidRPr="00163E7C">
          <w:rPr>
            <w:rStyle w:val="Hyperlink"/>
            <w:rFonts w:cs="Arial"/>
            <w:sz w:val="22"/>
            <w:szCs w:val="22"/>
          </w:rPr>
          <w:t>http://www.europris.org/projects/prisons-of-the-future/</w:t>
        </w:r>
      </w:hyperlink>
      <w:r w:rsidRPr="00163E7C">
        <w:rPr>
          <w:rFonts w:cs="Arial"/>
          <w:sz w:val="22"/>
          <w:szCs w:val="22"/>
        </w:rPr>
        <w:t xml:space="preserve"> </w:t>
      </w:r>
    </w:p>
  </w:endnote>
  <w:endnote w:id="150">
    <w:p w14:paraId="5FA2DF0D"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Confederation of Europe (2015) The Prisons of the Future: Results of a short CEP questionnaire among its members. </w:t>
      </w:r>
      <w:proofErr w:type="gramStart"/>
      <w:r w:rsidRPr="00163E7C">
        <w:rPr>
          <w:rFonts w:cs="Arial"/>
          <w:sz w:val="22"/>
          <w:szCs w:val="22"/>
        </w:rPr>
        <w:t>CEP.</w:t>
      </w:r>
      <w:proofErr w:type="gramEnd"/>
    </w:p>
  </w:endnote>
  <w:endnote w:id="151">
    <w:p w14:paraId="0653E8F7"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spellStart"/>
      <w:r w:rsidRPr="00163E7C">
        <w:rPr>
          <w:rFonts w:cs="Arial"/>
          <w:sz w:val="22"/>
          <w:szCs w:val="22"/>
        </w:rPr>
        <w:t>Hedderman</w:t>
      </w:r>
      <w:proofErr w:type="spellEnd"/>
      <w:r w:rsidRPr="00163E7C">
        <w:rPr>
          <w:rFonts w:cs="Arial"/>
          <w:sz w:val="22"/>
          <w:szCs w:val="22"/>
        </w:rPr>
        <w:t xml:space="preserve">, C. &amp; </w:t>
      </w:r>
      <w:proofErr w:type="spellStart"/>
      <w:r w:rsidRPr="00163E7C">
        <w:rPr>
          <w:rFonts w:cs="Arial"/>
          <w:sz w:val="22"/>
          <w:szCs w:val="22"/>
        </w:rPr>
        <w:t>Gunby</w:t>
      </w:r>
      <w:proofErr w:type="spellEnd"/>
      <w:r w:rsidRPr="00163E7C">
        <w:rPr>
          <w:rFonts w:cs="Arial"/>
          <w:sz w:val="22"/>
          <w:szCs w:val="22"/>
        </w:rPr>
        <w:t xml:space="preserve">, C (2013) Diverting women from custody: The importance of understanding </w:t>
      </w:r>
      <w:proofErr w:type="spellStart"/>
      <w:r w:rsidRPr="00163E7C">
        <w:rPr>
          <w:rFonts w:cs="Arial"/>
          <w:sz w:val="22"/>
          <w:szCs w:val="22"/>
        </w:rPr>
        <w:t>sentencers</w:t>
      </w:r>
      <w:proofErr w:type="spellEnd"/>
      <w:r w:rsidRPr="00163E7C">
        <w:rPr>
          <w:rFonts w:cs="Arial"/>
          <w:sz w:val="22"/>
          <w:szCs w:val="22"/>
        </w:rPr>
        <w:t>’ perspectives, Probation Journal 60(4) 425-438 p435</w:t>
      </w:r>
    </w:p>
  </w:endnote>
  <w:endnote w:id="152">
    <w:p w14:paraId="5C1D0D24"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w:t>
      </w:r>
    </w:p>
  </w:endnote>
  <w:endnote w:id="153">
    <w:p w14:paraId="618E0DDF"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 citing Hough et al. (2003) p434</w:t>
      </w:r>
    </w:p>
  </w:endnote>
  <w:endnote w:id="154">
    <w:p w14:paraId="21B6FE27"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spellStart"/>
      <w:proofErr w:type="gramStart"/>
      <w:r w:rsidRPr="00163E7C">
        <w:rPr>
          <w:rFonts w:cs="Arial"/>
          <w:sz w:val="22"/>
          <w:szCs w:val="22"/>
        </w:rPr>
        <w:t>Convery</w:t>
      </w:r>
      <w:proofErr w:type="spellEnd"/>
      <w:r w:rsidRPr="00163E7C">
        <w:rPr>
          <w:rFonts w:cs="Arial"/>
          <w:sz w:val="22"/>
          <w:szCs w:val="22"/>
        </w:rPr>
        <w:t>, U. (2009) Addressing Offending by Women: A Literature Review.</w:t>
      </w:r>
      <w:proofErr w:type="gramEnd"/>
      <w:r w:rsidRPr="00163E7C">
        <w:rPr>
          <w:rFonts w:cs="Arial"/>
          <w:sz w:val="22"/>
          <w:szCs w:val="22"/>
        </w:rPr>
        <w:t xml:space="preserve"> </w:t>
      </w:r>
      <w:proofErr w:type="gramStart"/>
      <w:r w:rsidRPr="00163E7C">
        <w:rPr>
          <w:rFonts w:cs="Arial"/>
          <w:sz w:val="22"/>
          <w:szCs w:val="22"/>
        </w:rPr>
        <w:t>Citing Bailie (2006).</w:t>
      </w:r>
      <w:proofErr w:type="gramEnd"/>
      <w:r w:rsidRPr="00163E7C">
        <w:rPr>
          <w:rFonts w:cs="Arial"/>
          <w:sz w:val="22"/>
          <w:szCs w:val="22"/>
        </w:rPr>
        <w:t xml:space="preserve"> </w:t>
      </w:r>
      <w:proofErr w:type="gramStart"/>
      <w:r w:rsidRPr="00163E7C">
        <w:rPr>
          <w:rFonts w:cs="Arial"/>
          <w:i/>
          <w:sz w:val="22"/>
          <w:szCs w:val="22"/>
        </w:rPr>
        <w:t>op</w:t>
      </w:r>
      <w:proofErr w:type="gramEnd"/>
      <w:r w:rsidRPr="00163E7C">
        <w:rPr>
          <w:rFonts w:cs="Arial"/>
          <w:i/>
          <w:sz w:val="22"/>
          <w:szCs w:val="22"/>
        </w:rPr>
        <w:t xml:space="preserve"> cit.</w:t>
      </w:r>
    </w:p>
  </w:endnote>
  <w:endnote w:id="155">
    <w:p w14:paraId="0440E55B"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 citing </w:t>
      </w:r>
      <w:proofErr w:type="spellStart"/>
      <w:r w:rsidRPr="00163E7C">
        <w:rPr>
          <w:rFonts w:cs="Arial"/>
          <w:sz w:val="22"/>
          <w:szCs w:val="22"/>
        </w:rPr>
        <w:t>Mair</w:t>
      </w:r>
      <w:proofErr w:type="spellEnd"/>
      <w:r w:rsidRPr="00163E7C">
        <w:rPr>
          <w:rFonts w:cs="Arial"/>
          <w:sz w:val="22"/>
          <w:szCs w:val="22"/>
        </w:rPr>
        <w:t xml:space="preserve"> et al. (2008) </w:t>
      </w:r>
    </w:p>
  </w:endnote>
  <w:endnote w:id="156">
    <w:p w14:paraId="48AB769A"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spellStart"/>
      <w:r w:rsidRPr="00163E7C">
        <w:rPr>
          <w:rFonts w:cs="Arial"/>
          <w:sz w:val="22"/>
          <w:szCs w:val="22"/>
        </w:rPr>
        <w:t>Hedderman</w:t>
      </w:r>
      <w:proofErr w:type="spellEnd"/>
      <w:r w:rsidRPr="00163E7C">
        <w:rPr>
          <w:rFonts w:cs="Arial"/>
          <w:sz w:val="22"/>
          <w:szCs w:val="22"/>
        </w:rPr>
        <w:t xml:space="preserve"> &amp; </w:t>
      </w:r>
      <w:proofErr w:type="spellStart"/>
      <w:r w:rsidRPr="00163E7C">
        <w:rPr>
          <w:rFonts w:cs="Arial"/>
          <w:sz w:val="22"/>
          <w:szCs w:val="22"/>
        </w:rPr>
        <w:t>Gunby</w:t>
      </w:r>
      <w:proofErr w:type="spellEnd"/>
      <w:r w:rsidRPr="00163E7C">
        <w:rPr>
          <w:rFonts w:cs="Arial"/>
          <w:sz w:val="22"/>
          <w:szCs w:val="22"/>
        </w:rPr>
        <w:t xml:space="preserve"> (2013) Diverting women from custody </w:t>
      </w:r>
      <w:r w:rsidRPr="00163E7C">
        <w:rPr>
          <w:rFonts w:cs="Arial"/>
          <w:i/>
          <w:sz w:val="22"/>
          <w:szCs w:val="22"/>
        </w:rPr>
        <w:t>op cit.</w:t>
      </w:r>
      <w:r w:rsidRPr="00163E7C">
        <w:rPr>
          <w:rFonts w:cs="Arial"/>
          <w:sz w:val="22"/>
          <w:szCs w:val="22"/>
        </w:rPr>
        <w:t xml:space="preserve"> citing Hough, Jacobson &amp; Millie (2003) </w:t>
      </w:r>
    </w:p>
  </w:endnote>
  <w:endnote w:id="157">
    <w:p w14:paraId="74F1C1AB"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spellStart"/>
      <w:proofErr w:type="gramStart"/>
      <w:r w:rsidRPr="00163E7C">
        <w:rPr>
          <w:rFonts w:cs="Arial"/>
          <w:sz w:val="22"/>
          <w:szCs w:val="22"/>
        </w:rPr>
        <w:t>Convery</w:t>
      </w:r>
      <w:proofErr w:type="spellEnd"/>
      <w:r w:rsidRPr="00163E7C">
        <w:rPr>
          <w:rFonts w:cs="Arial"/>
          <w:sz w:val="22"/>
          <w:szCs w:val="22"/>
        </w:rPr>
        <w:t>, U. (2009) Addressing Offending by Women: A Literature Review.</w:t>
      </w:r>
      <w:proofErr w:type="gramEnd"/>
      <w:r w:rsidRPr="00163E7C">
        <w:rPr>
          <w:rFonts w:cs="Arial"/>
          <w:sz w:val="22"/>
          <w:szCs w:val="22"/>
        </w:rPr>
        <w:t xml:space="preserve">  </w:t>
      </w:r>
      <w:r w:rsidRPr="00163E7C">
        <w:rPr>
          <w:rFonts w:cs="Arial"/>
          <w:i/>
          <w:sz w:val="22"/>
          <w:szCs w:val="22"/>
        </w:rPr>
        <w:t>op cit</w:t>
      </w:r>
      <w:r w:rsidRPr="00163E7C">
        <w:rPr>
          <w:rFonts w:cs="Arial"/>
          <w:sz w:val="22"/>
          <w:szCs w:val="22"/>
        </w:rPr>
        <w:t xml:space="preserve">. citing Hough et al (2003) &amp; Tombs (2004) </w:t>
      </w:r>
    </w:p>
  </w:endnote>
  <w:endnote w:id="158">
    <w:p w14:paraId="799FA126"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 citing Brown et al (2004) </w:t>
      </w:r>
    </w:p>
  </w:endnote>
  <w:endnote w:id="159">
    <w:p w14:paraId="7BF61B86" w14:textId="77777777" w:rsidR="00CD076F" w:rsidRPr="00163E7C" w:rsidRDefault="00CD076F" w:rsidP="006767CB">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PRT (2014) Transforming Lives: reducing women’s imprisonment.  </w:t>
      </w:r>
      <w:proofErr w:type="gramStart"/>
      <w:r w:rsidRPr="00163E7C">
        <w:rPr>
          <w:rFonts w:cs="Arial"/>
          <w:i/>
          <w:sz w:val="22"/>
          <w:szCs w:val="22"/>
        </w:rPr>
        <w:t>op</w:t>
      </w:r>
      <w:proofErr w:type="gramEnd"/>
      <w:r w:rsidRPr="00163E7C">
        <w:rPr>
          <w:rFonts w:cs="Arial"/>
          <w:i/>
          <w:sz w:val="22"/>
          <w:szCs w:val="22"/>
        </w:rPr>
        <w:t xml:space="preserve"> cit.</w:t>
      </w:r>
    </w:p>
  </w:endnote>
  <w:endnote w:id="160">
    <w:p w14:paraId="2B8AD31A" w14:textId="77777777" w:rsidR="00CD076F" w:rsidRPr="00163E7C" w:rsidRDefault="00CD076F" w:rsidP="00072B27">
      <w:pPr>
        <w:pStyle w:val="EndnoteText"/>
        <w:jc w:val="left"/>
        <w:rPr>
          <w:rFonts w:cs="Arial"/>
          <w:i/>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SPS (2013) Female Offenders 2013 14</w:t>
      </w:r>
      <w:r w:rsidRPr="00163E7C">
        <w:rPr>
          <w:rFonts w:cs="Arial"/>
          <w:sz w:val="22"/>
          <w:szCs w:val="22"/>
          <w:vertAlign w:val="superscript"/>
        </w:rPr>
        <w:t>th</w:t>
      </w:r>
      <w:r w:rsidRPr="00163E7C">
        <w:rPr>
          <w:rFonts w:cs="Arial"/>
          <w:sz w:val="22"/>
          <w:szCs w:val="22"/>
        </w:rPr>
        <w:t xml:space="preserve"> Survey Bulletin.</w:t>
      </w:r>
      <w:proofErr w:type="gramEnd"/>
      <w:r w:rsidRPr="00163E7C">
        <w:rPr>
          <w:rFonts w:cs="Arial"/>
          <w:sz w:val="22"/>
          <w:szCs w:val="22"/>
        </w:rPr>
        <w:t xml:space="preserve"> </w:t>
      </w:r>
      <w:proofErr w:type="gramStart"/>
      <w:r w:rsidRPr="00163E7C">
        <w:rPr>
          <w:rFonts w:cs="Arial"/>
          <w:i/>
          <w:sz w:val="22"/>
          <w:szCs w:val="22"/>
        </w:rPr>
        <w:t>op</w:t>
      </w:r>
      <w:proofErr w:type="gramEnd"/>
      <w:r w:rsidRPr="00163E7C">
        <w:rPr>
          <w:rFonts w:cs="Arial"/>
          <w:i/>
          <w:sz w:val="22"/>
          <w:szCs w:val="22"/>
        </w:rPr>
        <w:t xml:space="preserve"> cit.</w:t>
      </w:r>
    </w:p>
  </w:endnote>
  <w:endnote w:id="161">
    <w:p w14:paraId="07D143D2"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The Home Office (2007) The </w:t>
      </w:r>
      <w:proofErr w:type="spellStart"/>
      <w:r w:rsidRPr="00163E7C">
        <w:rPr>
          <w:rFonts w:cs="Arial"/>
          <w:sz w:val="22"/>
          <w:szCs w:val="22"/>
        </w:rPr>
        <w:t>Corston</w:t>
      </w:r>
      <w:proofErr w:type="spellEnd"/>
      <w:r w:rsidRPr="00163E7C">
        <w:rPr>
          <w:rFonts w:cs="Arial"/>
          <w:sz w:val="22"/>
          <w:szCs w:val="22"/>
        </w:rPr>
        <w:t xml:space="preserve"> Report. </w:t>
      </w:r>
      <w:proofErr w:type="gramStart"/>
      <w:r w:rsidRPr="00163E7C">
        <w:rPr>
          <w:rFonts w:cs="Arial"/>
          <w:i/>
          <w:sz w:val="22"/>
          <w:szCs w:val="22"/>
        </w:rPr>
        <w:t>op</w:t>
      </w:r>
      <w:proofErr w:type="gramEnd"/>
      <w:r w:rsidRPr="00163E7C">
        <w:rPr>
          <w:rFonts w:cs="Arial"/>
          <w:i/>
          <w:sz w:val="22"/>
          <w:szCs w:val="22"/>
        </w:rPr>
        <w:t xml:space="preserve"> cit.</w:t>
      </w:r>
    </w:p>
  </w:endnote>
  <w:endnote w:id="162">
    <w:p w14:paraId="02238BAF"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 xml:space="preserve">Bartels &amp; Gaffney (2011) </w:t>
      </w:r>
      <w:r w:rsidRPr="00163E7C">
        <w:rPr>
          <w:rFonts w:cs="Arial"/>
          <w:i/>
          <w:sz w:val="22"/>
          <w:szCs w:val="22"/>
        </w:rPr>
        <w:t>op cit.</w:t>
      </w:r>
      <w:proofErr w:type="gramEnd"/>
    </w:p>
  </w:endnote>
  <w:endnote w:id="163">
    <w:p w14:paraId="28B27B7D"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 citing NSWDCS (2007)</w:t>
      </w:r>
    </w:p>
  </w:endnote>
  <w:endnote w:id="164">
    <w:p w14:paraId="623825C1"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Scottish Government (2012) Commission on Women Offenders.</w:t>
      </w:r>
      <w:proofErr w:type="gramEnd"/>
      <w:r w:rsidRPr="00163E7C">
        <w:rPr>
          <w:rFonts w:cs="Arial"/>
          <w:sz w:val="22"/>
          <w:szCs w:val="22"/>
        </w:rPr>
        <w:t xml:space="preserve"> </w:t>
      </w:r>
      <w:proofErr w:type="gramStart"/>
      <w:r w:rsidRPr="00163E7C">
        <w:rPr>
          <w:rFonts w:cs="Arial"/>
          <w:i/>
          <w:sz w:val="22"/>
          <w:szCs w:val="22"/>
        </w:rPr>
        <w:t>op</w:t>
      </w:r>
      <w:proofErr w:type="gramEnd"/>
      <w:r w:rsidRPr="00163E7C">
        <w:rPr>
          <w:rFonts w:cs="Arial"/>
          <w:i/>
          <w:sz w:val="22"/>
          <w:szCs w:val="22"/>
        </w:rPr>
        <w:t xml:space="preserve"> cit.</w:t>
      </w:r>
      <w:r w:rsidRPr="00163E7C">
        <w:rPr>
          <w:rFonts w:cs="Arial"/>
          <w:sz w:val="22"/>
          <w:szCs w:val="22"/>
        </w:rPr>
        <w:t>.</w:t>
      </w:r>
    </w:p>
  </w:endnote>
  <w:endnote w:id="165">
    <w:p w14:paraId="1F0D4890"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Scottish Prison Service (SPS) (2013) Female Offenders 2013 14</w:t>
      </w:r>
      <w:r w:rsidRPr="00163E7C">
        <w:rPr>
          <w:rFonts w:cs="Arial"/>
          <w:sz w:val="22"/>
          <w:szCs w:val="22"/>
          <w:vertAlign w:val="superscript"/>
        </w:rPr>
        <w:t>th</w:t>
      </w:r>
      <w:r w:rsidRPr="00163E7C">
        <w:rPr>
          <w:rFonts w:cs="Arial"/>
          <w:sz w:val="22"/>
          <w:szCs w:val="22"/>
        </w:rPr>
        <w:t xml:space="preserve"> Survey Bulletin. </w:t>
      </w:r>
      <w:proofErr w:type="gramStart"/>
      <w:r w:rsidRPr="00163E7C">
        <w:rPr>
          <w:rFonts w:cs="Arial"/>
          <w:sz w:val="22"/>
          <w:szCs w:val="22"/>
        </w:rPr>
        <w:t>SPS.</w:t>
      </w:r>
      <w:proofErr w:type="gramEnd"/>
      <w:r w:rsidRPr="00163E7C">
        <w:rPr>
          <w:rFonts w:cs="Arial"/>
          <w:sz w:val="22"/>
          <w:szCs w:val="22"/>
        </w:rPr>
        <w:t xml:space="preserve"> URL: </w:t>
      </w:r>
      <w:hyperlink r:id="rId49" w:history="1">
        <w:r w:rsidRPr="00163E7C">
          <w:rPr>
            <w:rStyle w:val="Hyperlink"/>
            <w:rFonts w:cs="Arial"/>
            <w:sz w:val="22"/>
            <w:szCs w:val="22"/>
          </w:rPr>
          <w:t>http://www.sps.gov.uk/Corporate/Publications/PrisonerSurvey2013FemaleOffenders.aspx</w:t>
        </w:r>
      </w:hyperlink>
      <w:r w:rsidRPr="00163E7C">
        <w:rPr>
          <w:rFonts w:cs="Arial"/>
          <w:sz w:val="22"/>
          <w:szCs w:val="22"/>
        </w:rPr>
        <w:t xml:space="preserve"> </w:t>
      </w:r>
    </w:p>
  </w:endnote>
  <w:endnote w:id="166">
    <w:p w14:paraId="5BA581EB"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Sheehan, R. &amp; Flynn, C. (2007) Women prisoners and their children, in Sheehan, R., McIvor, G. &amp; Trotter, C. (2007) (</w:t>
      </w:r>
      <w:proofErr w:type="spellStart"/>
      <w:r w:rsidRPr="00163E7C">
        <w:rPr>
          <w:rFonts w:cs="Arial"/>
          <w:sz w:val="22"/>
          <w:szCs w:val="22"/>
        </w:rPr>
        <w:t>Eds</w:t>
      </w:r>
      <w:proofErr w:type="spellEnd"/>
      <w:r w:rsidRPr="00163E7C">
        <w:rPr>
          <w:rFonts w:cs="Arial"/>
          <w:sz w:val="22"/>
          <w:szCs w:val="22"/>
        </w:rPr>
        <w:t>) What Works with Women Offenders.</w:t>
      </w:r>
      <w:proofErr w:type="gramEnd"/>
      <w:r w:rsidRPr="00163E7C">
        <w:rPr>
          <w:rFonts w:cs="Arial"/>
          <w:sz w:val="22"/>
          <w:szCs w:val="22"/>
        </w:rPr>
        <w:t xml:space="preserve"> </w:t>
      </w:r>
      <w:proofErr w:type="spellStart"/>
      <w:r w:rsidRPr="00163E7C">
        <w:rPr>
          <w:rFonts w:cs="Arial"/>
          <w:sz w:val="22"/>
          <w:szCs w:val="22"/>
        </w:rPr>
        <w:t>Willan</w:t>
      </w:r>
      <w:proofErr w:type="spellEnd"/>
      <w:r w:rsidRPr="00163E7C">
        <w:rPr>
          <w:rFonts w:cs="Arial"/>
          <w:sz w:val="22"/>
          <w:szCs w:val="22"/>
        </w:rPr>
        <w:t xml:space="preserve"> Publishing: </w:t>
      </w:r>
      <w:proofErr w:type="spellStart"/>
      <w:r w:rsidRPr="00163E7C">
        <w:rPr>
          <w:rFonts w:cs="Arial"/>
          <w:sz w:val="22"/>
          <w:szCs w:val="22"/>
        </w:rPr>
        <w:t>Cullompton</w:t>
      </w:r>
      <w:proofErr w:type="spellEnd"/>
      <w:r w:rsidRPr="00163E7C">
        <w:rPr>
          <w:rFonts w:cs="Arial"/>
          <w:sz w:val="22"/>
          <w:szCs w:val="22"/>
        </w:rPr>
        <w:t xml:space="preserve">, citing Johnston (1995) </w:t>
      </w:r>
    </w:p>
  </w:endnote>
  <w:endnote w:id="167">
    <w:p w14:paraId="77760AC1" w14:textId="77777777" w:rsidR="00CD076F" w:rsidRPr="00EB29FB" w:rsidRDefault="00CD076F">
      <w:pPr>
        <w:pStyle w:val="EndnoteText"/>
        <w:rPr>
          <w:sz w:val="22"/>
          <w:szCs w:val="22"/>
        </w:rPr>
      </w:pPr>
      <w:r w:rsidRPr="00EB29FB">
        <w:rPr>
          <w:rStyle w:val="EndnoteReference"/>
          <w:sz w:val="22"/>
          <w:szCs w:val="22"/>
        </w:rPr>
        <w:endnoteRef/>
      </w:r>
      <w:r w:rsidRPr="00EB29FB">
        <w:rPr>
          <w:sz w:val="22"/>
          <w:szCs w:val="22"/>
        </w:rPr>
        <w:t xml:space="preserve"> </w:t>
      </w:r>
      <w:r w:rsidRPr="00163E7C">
        <w:rPr>
          <w:rFonts w:cs="Arial"/>
          <w:sz w:val="22"/>
          <w:szCs w:val="22"/>
        </w:rPr>
        <w:t xml:space="preserve">PRT (2014) Transforming Lives: reducing women’s imprisonment.  </w:t>
      </w:r>
      <w:r w:rsidRPr="00163E7C">
        <w:rPr>
          <w:rFonts w:cs="Arial"/>
          <w:i/>
          <w:sz w:val="22"/>
          <w:szCs w:val="22"/>
        </w:rPr>
        <w:t xml:space="preserve">op cit. </w:t>
      </w:r>
      <w:r w:rsidRPr="00EB29FB">
        <w:rPr>
          <w:sz w:val="22"/>
          <w:szCs w:val="22"/>
        </w:rPr>
        <w:t>p41</w:t>
      </w:r>
    </w:p>
  </w:endnote>
  <w:endnote w:id="168">
    <w:p w14:paraId="06878E05"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Sheehan &amp; Flynn (2007).</w:t>
      </w:r>
      <w:proofErr w:type="gramEnd"/>
      <w:r w:rsidRPr="00163E7C">
        <w:rPr>
          <w:rFonts w:cs="Arial"/>
          <w:sz w:val="22"/>
          <w:szCs w:val="22"/>
        </w:rPr>
        <w:t xml:space="preserve">  </w:t>
      </w:r>
      <w:proofErr w:type="gramStart"/>
      <w:r w:rsidRPr="00163E7C">
        <w:rPr>
          <w:rFonts w:cs="Arial"/>
          <w:sz w:val="22"/>
          <w:szCs w:val="22"/>
        </w:rPr>
        <w:t>Women prisoners and their children.</w:t>
      </w:r>
      <w:proofErr w:type="gramEnd"/>
      <w:r w:rsidRPr="00163E7C">
        <w:rPr>
          <w:rFonts w:cs="Arial"/>
          <w:sz w:val="22"/>
          <w:szCs w:val="22"/>
        </w:rPr>
        <w:t xml:space="preserve"> </w:t>
      </w:r>
      <w:proofErr w:type="gramStart"/>
      <w:r w:rsidRPr="00163E7C">
        <w:rPr>
          <w:rFonts w:cs="Arial"/>
          <w:i/>
          <w:sz w:val="22"/>
          <w:szCs w:val="22"/>
        </w:rPr>
        <w:t>op</w:t>
      </w:r>
      <w:proofErr w:type="gramEnd"/>
      <w:r w:rsidRPr="00163E7C">
        <w:rPr>
          <w:rFonts w:cs="Arial"/>
          <w:i/>
          <w:sz w:val="22"/>
          <w:szCs w:val="22"/>
        </w:rPr>
        <w:t xml:space="preserve"> cit.</w:t>
      </w:r>
    </w:p>
  </w:endnote>
  <w:endnote w:id="169">
    <w:p w14:paraId="19600BB1"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 citing </w:t>
      </w:r>
      <w:proofErr w:type="spellStart"/>
      <w:r w:rsidRPr="00163E7C">
        <w:rPr>
          <w:rFonts w:cs="Arial"/>
          <w:sz w:val="22"/>
          <w:szCs w:val="22"/>
        </w:rPr>
        <w:t>Larman</w:t>
      </w:r>
      <w:proofErr w:type="spellEnd"/>
      <w:r w:rsidRPr="00163E7C">
        <w:rPr>
          <w:rFonts w:cs="Arial"/>
          <w:sz w:val="22"/>
          <w:szCs w:val="22"/>
        </w:rPr>
        <w:t xml:space="preserve"> &amp; </w:t>
      </w:r>
      <w:proofErr w:type="spellStart"/>
      <w:r w:rsidRPr="00163E7C">
        <w:rPr>
          <w:rFonts w:cs="Arial"/>
          <w:sz w:val="22"/>
          <w:szCs w:val="22"/>
        </w:rPr>
        <w:t>Aungles</w:t>
      </w:r>
      <w:proofErr w:type="spellEnd"/>
      <w:r w:rsidRPr="00163E7C">
        <w:rPr>
          <w:rFonts w:cs="Arial"/>
          <w:sz w:val="22"/>
          <w:szCs w:val="22"/>
        </w:rPr>
        <w:t xml:space="preserve">, (1991); Farrell (1998); Myers, </w:t>
      </w:r>
      <w:proofErr w:type="spellStart"/>
      <w:r w:rsidRPr="00163E7C">
        <w:rPr>
          <w:rFonts w:cs="Arial"/>
          <w:sz w:val="22"/>
          <w:szCs w:val="22"/>
        </w:rPr>
        <w:t>Smarsh</w:t>
      </w:r>
      <w:proofErr w:type="spellEnd"/>
      <w:r w:rsidRPr="00163E7C">
        <w:rPr>
          <w:rFonts w:cs="Arial"/>
          <w:sz w:val="22"/>
          <w:szCs w:val="22"/>
        </w:rPr>
        <w:t xml:space="preserve">, </w:t>
      </w:r>
      <w:proofErr w:type="spellStart"/>
      <w:r w:rsidRPr="00163E7C">
        <w:rPr>
          <w:rFonts w:cs="Arial"/>
          <w:sz w:val="22"/>
          <w:szCs w:val="22"/>
        </w:rPr>
        <w:t>Amlund</w:t>
      </w:r>
      <w:proofErr w:type="spellEnd"/>
      <w:r w:rsidRPr="00163E7C">
        <w:rPr>
          <w:rFonts w:cs="Arial"/>
          <w:sz w:val="22"/>
          <w:szCs w:val="22"/>
        </w:rPr>
        <w:t xml:space="preserve">-Hagen &amp; </w:t>
      </w:r>
      <w:proofErr w:type="spellStart"/>
      <w:r w:rsidRPr="00163E7C">
        <w:rPr>
          <w:rFonts w:cs="Arial"/>
          <w:sz w:val="22"/>
          <w:szCs w:val="22"/>
        </w:rPr>
        <w:t>Kennon</w:t>
      </w:r>
      <w:proofErr w:type="spellEnd"/>
      <w:r w:rsidRPr="00163E7C">
        <w:rPr>
          <w:rFonts w:cs="Arial"/>
          <w:sz w:val="22"/>
          <w:szCs w:val="22"/>
        </w:rPr>
        <w:t xml:space="preserve"> (1999); Covington (2003)</w:t>
      </w:r>
    </w:p>
  </w:endnote>
  <w:endnote w:id="170">
    <w:p w14:paraId="14AD4FC8"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SPS (2013) Female Offenders 2013 14</w:t>
      </w:r>
      <w:r w:rsidRPr="00163E7C">
        <w:rPr>
          <w:rFonts w:cs="Arial"/>
          <w:sz w:val="22"/>
          <w:szCs w:val="22"/>
          <w:vertAlign w:val="superscript"/>
        </w:rPr>
        <w:t>th</w:t>
      </w:r>
      <w:r w:rsidRPr="00163E7C">
        <w:rPr>
          <w:rFonts w:cs="Arial"/>
          <w:sz w:val="22"/>
          <w:szCs w:val="22"/>
        </w:rPr>
        <w:t xml:space="preserve"> Survey Bulletin.</w:t>
      </w:r>
      <w:proofErr w:type="gramEnd"/>
      <w:r w:rsidRPr="00163E7C">
        <w:rPr>
          <w:rFonts w:cs="Arial"/>
          <w:sz w:val="22"/>
          <w:szCs w:val="22"/>
        </w:rPr>
        <w:t xml:space="preserve"> </w:t>
      </w:r>
      <w:proofErr w:type="gramStart"/>
      <w:r w:rsidRPr="00163E7C">
        <w:rPr>
          <w:rFonts w:cs="Arial"/>
          <w:i/>
          <w:sz w:val="22"/>
          <w:szCs w:val="22"/>
        </w:rPr>
        <w:t>op</w:t>
      </w:r>
      <w:proofErr w:type="gramEnd"/>
      <w:r w:rsidRPr="00163E7C">
        <w:rPr>
          <w:rFonts w:cs="Arial"/>
          <w:i/>
          <w:sz w:val="22"/>
          <w:szCs w:val="22"/>
        </w:rPr>
        <w:t xml:space="preserve"> cit.</w:t>
      </w:r>
    </w:p>
  </w:endnote>
  <w:endnote w:id="171">
    <w:p w14:paraId="57DA7443" w14:textId="77777777" w:rsidR="00CD076F" w:rsidRPr="00163E7C" w:rsidRDefault="00CD076F" w:rsidP="00072B27">
      <w:pPr>
        <w:pStyle w:val="Bibliography"/>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r w:rsidRPr="00163E7C">
        <w:rPr>
          <w:rFonts w:cs="Arial"/>
          <w:noProof/>
          <w:sz w:val="22"/>
          <w:szCs w:val="22"/>
        </w:rPr>
        <w:t xml:space="preserve">Hairston, C. F., &amp; Addams, J. (2001). Prisoners and Families: Parenting Issues During Incarceration. </w:t>
      </w:r>
      <w:r w:rsidRPr="00163E7C">
        <w:rPr>
          <w:rFonts w:cs="Arial"/>
          <w:iCs/>
          <w:noProof/>
          <w:sz w:val="22"/>
          <w:szCs w:val="22"/>
        </w:rPr>
        <w:t xml:space="preserve">From Prison to Home: The Effect of Incarceration and Reentry on Children, Families, and Communities. </w:t>
      </w:r>
      <w:r w:rsidRPr="00163E7C">
        <w:rPr>
          <w:rFonts w:cs="Arial"/>
          <w:sz w:val="22"/>
          <w:szCs w:val="22"/>
        </w:rPr>
        <w:t xml:space="preserve"> </w:t>
      </w:r>
    </w:p>
  </w:endnote>
  <w:endnote w:id="172">
    <w:p w14:paraId="72AB088D"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r w:rsidRPr="00163E7C">
        <w:rPr>
          <w:rFonts w:cs="Arial"/>
          <w:noProof/>
          <w:sz w:val="22"/>
          <w:szCs w:val="22"/>
        </w:rPr>
        <w:t>Ibid. citing Baunach (1985) &amp; Hairston (1991b)</w:t>
      </w:r>
    </w:p>
  </w:endnote>
  <w:endnote w:id="173">
    <w:p w14:paraId="2673FDBD" w14:textId="77777777" w:rsidR="00CD076F" w:rsidRPr="00163E7C" w:rsidRDefault="00CD076F" w:rsidP="00072B27">
      <w:pPr>
        <w:pStyle w:val="EndnoteText"/>
        <w:jc w:val="left"/>
        <w:rPr>
          <w:rFonts w:cs="Arial"/>
          <w:sz w:val="22"/>
          <w:szCs w:val="22"/>
        </w:rPr>
      </w:pPr>
      <w:r w:rsidRPr="00163E7C">
        <w:rPr>
          <w:rStyle w:val="EndnoteReference"/>
          <w:rFonts w:eastAsiaTheme="majorEastAsia" w:cs="Arial"/>
          <w:sz w:val="22"/>
          <w:szCs w:val="22"/>
        </w:rPr>
        <w:endnoteRef/>
      </w:r>
      <w:r w:rsidRPr="00163E7C">
        <w:rPr>
          <w:rFonts w:cs="Arial"/>
          <w:sz w:val="22"/>
          <w:szCs w:val="22"/>
        </w:rPr>
        <w:t xml:space="preserve"> </w:t>
      </w:r>
      <w:proofErr w:type="gramStart"/>
      <w:r w:rsidRPr="00163E7C">
        <w:rPr>
          <w:rFonts w:cs="Arial"/>
          <w:sz w:val="22"/>
          <w:szCs w:val="22"/>
        </w:rPr>
        <w:t>McIvor et al. (2009) Women, resettlement and desistance.</w:t>
      </w:r>
      <w:proofErr w:type="gramEnd"/>
      <w:r w:rsidRPr="00163E7C">
        <w:rPr>
          <w:rFonts w:cs="Arial"/>
          <w:sz w:val="22"/>
          <w:szCs w:val="22"/>
        </w:rPr>
        <w:t xml:space="preserve"> </w:t>
      </w:r>
      <w:r w:rsidRPr="00163E7C">
        <w:rPr>
          <w:rFonts w:cs="Arial"/>
          <w:i/>
          <w:sz w:val="22"/>
          <w:szCs w:val="22"/>
        </w:rPr>
        <w:t xml:space="preserve">Op </w:t>
      </w:r>
      <w:proofErr w:type="gramStart"/>
      <w:r w:rsidRPr="00163E7C">
        <w:rPr>
          <w:rFonts w:cs="Arial"/>
          <w:i/>
          <w:sz w:val="22"/>
          <w:szCs w:val="22"/>
        </w:rPr>
        <w:t>cit.</w:t>
      </w:r>
      <w:r w:rsidRPr="00163E7C">
        <w:rPr>
          <w:rFonts w:cs="Arial"/>
          <w:sz w:val="22"/>
          <w:szCs w:val="22"/>
        </w:rPr>
        <w:t>.</w:t>
      </w:r>
      <w:proofErr w:type="gramEnd"/>
      <w:r w:rsidRPr="00163E7C">
        <w:rPr>
          <w:rFonts w:cs="Arial"/>
          <w:sz w:val="22"/>
          <w:szCs w:val="22"/>
        </w:rPr>
        <w:t xml:space="preserve"> citing McIvor et al. (2004) </w:t>
      </w:r>
    </w:p>
  </w:endnote>
  <w:endnote w:id="174">
    <w:p w14:paraId="4ADA0085" w14:textId="77777777" w:rsidR="00CD076F" w:rsidRPr="00163E7C" w:rsidRDefault="00CD076F" w:rsidP="00072B27">
      <w:pPr>
        <w:pStyle w:val="EndnoteText"/>
        <w:jc w:val="left"/>
        <w:rPr>
          <w:rFonts w:cs="Arial"/>
          <w:sz w:val="22"/>
          <w:szCs w:val="22"/>
        </w:rPr>
      </w:pPr>
      <w:r w:rsidRPr="00163E7C">
        <w:rPr>
          <w:rStyle w:val="EndnoteReference"/>
          <w:rFonts w:eastAsiaTheme="majorEastAsia" w:cs="Arial"/>
          <w:sz w:val="22"/>
          <w:szCs w:val="22"/>
        </w:rPr>
        <w:endnoteRef/>
      </w:r>
      <w:r w:rsidRPr="00163E7C">
        <w:rPr>
          <w:rFonts w:cs="Arial"/>
          <w:sz w:val="22"/>
          <w:szCs w:val="22"/>
        </w:rPr>
        <w:t xml:space="preserve"> Barry, M. (2007) ‘The Transitional Pathways of Young Female Offenders: Towards a Non-Offending Lifestyle’, in R. Sheehan, </w:t>
      </w:r>
      <w:proofErr w:type="spellStart"/>
      <w:r w:rsidRPr="00163E7C">
        <w:rPr>
          <w:rFonts w:cs="Arial"/>
          <w:sz w:val="22"/>
          <w:szCs w:val="22"/>
        </w:rPr>
        <w:t>G.McIvor</w:t>
      </w:r>
      <w:proofErr w:type="spellEnd"/>
      <w:r w:rsidRPr="00163E7C">
        <w:rPr>
          <w:rFonts w:cs="Arial"/>
          <w:sz w:val="22"/>
          <w:szCs w:val="22"/>
        </w:rPr>
        <w:t xml:space="preserve"> and C. Trotter (</w:t>
      </w:r>
      <w:proofErr w:type="spellStart"/>
      <w:proofErr w:type="gramStart"/>
      <w:r w:rsidRPr="00163E7C">
        <w:rPr>
          <w:rFonts w:cs="Arial"/>
          <w:sz w:val="22"/>
          <w:szCs w:val="22"/>
        </w:rPr>
        <w:t>eds</w:t>
      </w:r>
      <w:proofErr w:type="spellEnd"/>
      <w:proofErr w:type="gramEnd"/>
      <w:r w:rsidRPr="00163E7C">
        <w:rPr>
          <w:rFonts w:cs="Arial"/>
          <w:sz w:val="22"/>
          <w:szCs w:val="22"/>
        </w:rPr>
        <w:t xml:space="preserve">) What Works with Women Offenders.  </w:t>
      </w:r>
      <w:proofErr w:type="spellStart"/>
      <w:r w:rsidRPr="00163E7C">
        <w:rPr>
          <w:rFonts w:cs="Arial"/>
          <w:sz w:val="22"/>
          <w:szCs w:val="22"/>
        </w:rPr>
        <w:t>Collumpton</w:t>
      </w:r>
      <w:proofErr w:type="spellEnd"/>
      <w:r w:rsidRPr="00163E7C">
        <w:rPr>
          <w:rFonts w:cs="Arial"/>
          <w:sz w:val="22"/>
          <w:szCs w:val="22"/>
        </w:rPr>
        <w:t xml:space="preserve">: </w:t>
      </w:r>
      <w:proofErr w:type="spellStart"/>
      <w:r w:rsidRPr="00163E7C">
        <w:rPr>
          <w:rFonts w:cs="Arial"/>
          <w:sz w:val="22"/>
          <w:szCs w:val="22"/>
        </w:rPr>
        <w:t>Willan</w:t>
      </w:r>
      <w:proofErr w:type="spellEnd"/>
      <w:r w:rsidRPr="00163E7C">
        <w:rPr>
          <w:rFonts w:cs="Arial"/>
          <w:sz w:val="22"/>
          <w:szCs w:val="22"/>
        </w:rPr>
        <w:t xml:space="preserve"> Publishing.</w:t>
      </w:r>
    </w:p>
  </w:endnote>
  <w:endnote w:id="175">
    <w:p w14:paraId="2852C563" w14:textId="77777777" w:rsidR="00CD076F" w:rsidRPr="00163E7C" w:rsidRDefault="00CD076F" w:rsidP="00072B27">
      <w:pPr>
        <w:rPr>
          <w:rFonts w:cs="Arial"/>
          <w:sz w:val="22"/>
          <w:szCs w:val="22"/>
        </w:rPr>
      </w:pPr>
      <w:r w:rsidRPr="00163E7C">
        <w:rPr>
          <w:rStyle w:val="EndnoteReference"/>
          <w:rFonts w:eastAsiaTheme="majorEastAsia" w:cs="Arial"/>
          <w:sz w:val="22"/>
          <w:szCs w:val="22"/>
        </w:rPr>
        <w:endnoteRef/>
      </w:r>
      <w:r w:rsidRPr="00163E7C">
        <w:rPr>
          <w:rFonts w:cs="Arial"/>
          <w:sz w:val="22"/>
          <w:szCs w:val="22"/>
        </w:rPr>
        <w:t xml:space="preserve"> Scottish Government (2015) What Works to Reduce Reoffending: A Summary of the Evidence (2</w:t>
      </w:r>
      <w:r w:rsidRPr="00163E7C">
        <w:rPr>
          <w:rFonts w:cs="Arial"/>
          <w:sz w:val="22"/>
          <w:szCs w:val="22"/>
          <w:vertAlign w:val="superscript"/>
        </w:rPr>
        <w:t>nd</w:t>
      </w:r>
      <w:r w:rsidRPr="00163E7C">
        <w:rPr>
          <w:rFonts w:cs="Arial"/>
          <w:sz w:val="22"/>
          <w:szCs w:val="22"/>
        </w:rPr>
        <w:t xml:space="preserve"> Edition), citing </w:t>
      </w:r>
      <w:proofErr w:type="spellStart"/>
      <w:r w:rsidRPr="00163E7C">
        <w:rPr>
          <w:rFonts w:cs="Arial"/>
          <w:sz w:val="22"/>
          <w:szCs w:val="22"/>
        </w:rPr>
        <w:t>Deakin</w:t>
      </w:r>
      <w:proofErr w:type="spellEnd"/>
      <w:r w:rsidRPr="00163E7C">
        <w:rPr>
          <w:rFonts w:cs="Arial"/>
          <w:sz w:val="22"/>
          <w:szCs w:val="22"/>
        </w:rPr>
        <w:t xml:space="preserve"> &amp; Spencer (2011). URL: </w:t>
      </w:r>
      <w:hyperlink r:id="rId50" w:history="1">
        <w:r w:rsidRPr="00163E7C">
          <w:rPr>
            <w:rStyle w:val="Hyperlink"/>
            <w:rFonts w:cs="Arial"/>
            <w:color w:val="000000"/>
            <w:sz w:val="22"/>
            <w:szCs w:val="22"/>
          </w:rPr>
          <w:t>http://www.gov.scot/Publications/2015/05/2480</w:t>
        </w:r>
      </w:hyperlink>
      <w:r w:rsidRPr="00163E7C">
        <w:rPr>
          <w:rStyle w:val="Hyperlink"/>
          <w:rFonts w:cs="Arial"/>
          <w:color w:val="000000"/>
          <w:sz w:val="22"/>
          <w:szCs w:val="22"/>
        </w:rPr>
        <w:t xml:space="preserve"> </w:t>
      </w:r>
      <w:r w:rsidRPr="00163E7C">
        <w:rPr>
          <w:rFonts w:cs="Arial"/>
          <w:color w:val="1F497D"/>
          <w:sz w:val="22"/>
          <w:szCs w:val="22"/>
        </w:rPr>
        <w:t xml:space="preserve"> </w:t>
      </w:r>
    </w:p>
  </w:endnote>
  <w:endnote w:id="176">
    <w:p w14:paraId="0A6B1CFE"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Action for Prisoners’ Families (</w:t>
      </w:r>
      <w:proofErr w:type="spellStart"/>
      <w:r w:rsidRPr="00163E7C">
        <w:rPr>
          <w:rFonts w:cs="Arial"/>
          <w:sz w:val="22"/>
          <w:szCs w:val="22"/>
        </w:rPr>
        <w:t>AfPF</w:t>
      </w:r>
      <w:proofErr w:type="spellEnd"/>
      <w:r w:rsidRPr="00163E7C">
        <w:rPr>
          <w:rFonts w:cs="Arial"/>
          <w:sz w:val="22"/>
          <w:szCs w:val="22"/>
        </w:rPr>
        <w:t xml:space="preserve">) (2013) Facts and Figures about Prisoners’ Families June 2013 citing Home Office (2005) Resettlement Outcomes on Release from Prison, URL: </w:t>
      </w:r>
      <w:hyperlink r:id="rId51" w:history="1">
        <w:r w:rsidRPr="00163E7C">
          <w:rPr>
            <w:rStyle w:val="Hyperlink"/>
            <w:rFonts w:cs="Arial"/>
            <w:sz w:val="22"/>
            <w:szCs w:val="22"/>
          </w:rPr>
          <w:t>http://www.prisonersfamilies.org.uk/uploadedFiles/2010_Publications_And_Resources/Facts_and_figures_about_prisoners_families_June2013.pdf</w:t>
        </w:r>
      </w:hyperlink>
      <w:r w:rsidRPr="00163E7C">
        <w:rPr>
          <w:rStyle w:val="Hyperlink"/>
          <w:rFonts w:cs="Arial"/>
          <w:sz w:val="22"/>
          <w:szCs w:val="22"/>
        </w:rPr>
        <w:t>,</w:t>
      </w:r>
    </w:p>
  </w:endnote>
  <w:endnote w:id="177">
    <w:p w14:paraId="4A43EE53"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Bartels &amp; Gaffney (2011) </w:t>
      </w:r>
      <w:r w:rsidRPr="00163E7C">
        <w:rPr>
          <w:rFonts w:cs="Arial"/>
          <w:i/>
          <w:sz w:val="22"/>
          <w:szCs w:val="22"/>
        </w:rPr>
        <w:t>Op cit.</w:t>
      </w:r>
      <w:r w:rsidRPr="00163E7C">
        <w:rPr>
          <w:rFonts w:cs="Arial"/>
          <w:sz w:val="22"/>
          <w:szCs w:val="22"/>
        </w:rPr>
        <w:t xml:space="preserve">., citing </w:t>
      </w:r>
      <w:proofErr w:type="spellStart"/>
      <w:r w:rsidRPr="00163E7C">
        <w:rPr>
          <w:rFonts w:cs="Arial"/>
          <w:sz w:val="22"/>
          <w:szCs w:val="22"/>
        </w:rPr>
        <w:t>Mulhein</w:t>
      </w:r>
      <w:proofErr w:type="spellEnd"/>
      <w:r w:rsidRPr="00163E7C">
        <w:rPr>
          <w:rFonts w:cs="Arial"/>
          <w:sz w:val="22"/>
          <w:szCs w:val="22"/>
        </w:rPr>
        <w:t xml:space="preserve">, Gough &amp; </w:t>
      </w:r>
      <w:proofErr w:type="spellStart"/>
      <w:r w:rsidRPr="00163E7C">
        <w:rPr>
          <w:rFonts w:cs="Arial"/>
          <w:sz w:val="22"/>
          <w:szCs w:val="22"/>
        </w:rPr>
        <w:t>Menne</w:t>
      </w:r>
      <w:proofErr w:type="spellEnd"/>
      <w:r w:rsidRPr="00163E7C">
        <w:rPr>
          <w:rFonts w:cs="Arial"/>
          <w:sz w:val="22"/>
          <w:szCs w:val="22"/>
        </w:rPr>
        <w:t xml:space="preserve"> (2010)</w:t>
      </w:r>
    </w:p>
  </w:endnote>
  <w:endnote w:id="178">
    <w:p w14:paraId="2B1ACCE1" w14:textId="77777777" w:rsidR="00CD076F" w:rsidRPr="00163E7C" w:rsidRDefault="00CD076F" w:rsidP="00072B27">
      <w:pPr>
        <w:pStyle w:val="EndnoteText"/>
        <w:jc w:val="left"/>
        <w:rPr>
          <w:rFonts w:cs="Arial"/>
          <w:sz w:val="22"/>
          <w:szCs w:val="22"/>
        </w:rPr>
      </w:pPr>
      <w:r w:rsidRPr="00163E7C">
        <w:rPr>
          <w:rStyle w:val="EndnoteReference"/>
          <w:rFonts w:eastAsiaTheme="majorEastAsia" w:cs="Arial"/>
          <w:sz w:val="22"/>
          <w:szCs w:val="22"/>
        </w:rPr>
        <w:endnoteRef/>
      </w:r>
      <w:r w:rsidRPr="00163E7C">
        <w:rPr>
          <w:rFonts w:cs="Arial"/>
          <w:sz w:val="22"/>
          <w:szCs w:val="22"/>
        </w:rPr>
        <w:t xml:space="preserve"> Scottish Government (2015) </w:t>
      </w:r>
      <w:proofErr w:type="gramStart"/>
      <w:r w:rsidRPr="00163E7C">
        <w:rPr>
          <w:rFonts w:cs="Arial"/>
          <w:sz w:val="22"/>
          <w:szCs w:val="22"/>
        </w:rPr>
        <w:t>What</w:t>
      </w:r>
      <w:proofErr w:type="gramEnd"/>
      <w:r w:rsidRPr="00163E7C">
        <w:rPr>
          <w:rFonts w:cs="Arial"/>
          <w:sz w:val="22"/>
          <w:szCs w:val="22"/>
        </w:rPr>
        <w:t xml:space="preserve"> Works to Reduce Reoffending, </w:t>
      </w:r>
      <w:r w:rsidRPr="00163E7C">
        <w:rPr>
          <w:rFonts w:cs="Arial"/>
          <w:i/>
          <w:sz w:val="22"/>
          <w:szCs w:val="22"/>
        </w:rPr>
        <w:t>op cit.</w:t>
      </w:r>
    </w:p>
  </w:endnote>
  <w:endnote w:id="179">
    <w:p w14:paraId="3E32AEB4"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McIvor et al (2009) Women, resettlement and desistance.</w:t>
      </w:r>
      <w:proofErr w:type="gramEnd"/>
      <w:r w:rsidRPr="00163E7C">
        <w:rPr>
          <w:rFonts w:cs="Arial"/>
          <w:sz w:val="22"/>
          <w:szCs w:val="22"/>
        </w:rPr>
        <w:t xml:space="preserve"> </w:t>
      </w:r>
      <w:proofErr w:type="gramStart"/>
      <w:r w:rsidRPr="00163E7C">
        <w:rPr>
          <w:rFonts w:cs="Arial"/>
          <w:i/>
          <w:sz w:val="22"/>
          <w:szCs w:val="22"/>
        </w:rPr>
        <w:t>op</w:t>
      </w:r>
      <w:proofErr w:type="gramEnd"/>
      <w:r w:rsidRPr="00163E7C">
        <w:rPr>
          <w:rFonts w:cs="Arial"/>
          <w:i/>
          <w:sz w:val="22"/>
          <w:szCs w:val="22"/>
        </w:rPr>
        <w:t xml:space="preserve"> cit.</w:t>
      </w:r>
    </w:p>
  </w:endnote>
  <w:endnote w:id="180">
    <w:p w14:paraId="3964F680"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Sheehan, R. &amp; Flynn, C. (2007) Women prisoners and their children.</w:t>
      </w:r>
      <w:proofErr w:type="gramEnd"/>
      <w:r w:rsidRPr="00163E7C">
        <w:rPr>
          <w:rFonts w:cs="Arial"/>
          <w:sz w:val="22"/>
          <w:szCs w:val="22"/>
        </w:rPr>
        <w:t xml:space="preserve"> </w:t>
      </w:r>
      <w:proofErr w:type="gramStart"/>
      <w:r w:rsidRPr="00163E7C">
        <w:rPr>
          <w:rFonts w:cs="Arial"/>
          <w:i/>
          <w:sz w:val="22"/>
          <w:szCs w:val="22"/>
        </w:rPr>
        <w:t>op</w:t>
      </w:r>
      <w:proofErr w:type="gramEnd"/>
      <w:r w:rsidRPr="00163E7C">
        <w:rPr>
          <w:rFonts w:cs="Arial"/>
          <w:i/>
          <w:sz w:val="22"/>
          <w:szCs w:val="22"/>
        </w:rPr>
        <w:t xml:space="preserve"> cit.</w:t>
      </w:r>
    </w:p>
  </w:endnote>
  <w:endnote w:id="181">
    <w:p w14:paraId="71514E6F" w14:textId="77777777" w:rsidR="00CD076F" w:rsidRPr="00163E7C" w:rsidRDefault="00CD076F" w:rsidP="00072B27">
      <w:pPr>
        <w:pStyle w:val="EndnoteText"/>
        <w:jc w:val="left"/>
        <w:rPr>
          <w:rFonts w:cs="Arial"/>
          <w:sz w:val="22"/>
          <w:szCs w:val="22"/>
        </w:rPr>
      </w:pPr>
      <w:r w:rsidRPr="00163E7C">
        <w:rPr>
          <w:rStyle w:val="EndnoteReference"/>
          <w:rFonts w:eastAsiaTheme="majorEastAsia" w:cs="Arial"/>
          <w:sz w:val="22"/>
          <w:szCs w:val="22"/>
        </w:rPr>
        <w:endnoteRef/>
      </w:r>
      <w:r w:rsidRPr="00163E7C">
        <w:rPr>
          <w:rFonts w:cs="Arial"/>
          <w:sz w:val="22"/>
          <w:szCs w:val="22"/>
        </w:rPr>
        <w:t xml:space="preserve"> </w:t>
      </w:r>
      <w:proofErr w:type="gramStart"/>
      <w:r w:rsidRPr="00163E7C">
        <w:rPr>
          <w:rFonts w:cs="Arial"/>
          <w:sz w:val="22"/>
          <w:szCs w:val="22"/>
        </w:rPr>
        <w:t>McIvor et al (2009) Women, resettlement and desistance.</w:t>
      </w:r>
      <w:proofErr w:type="gramEnd"/>
      <w:r w:rsidRPr="00163E7C">
        <w:rPr>
          <w:rFonts w:cs="Arial"/>
          <w:sz w:val="22"/>
          <w:szCs w:val="22"/>
        </w:rPr>
        <w:t xml:space="preserve"> </w:t>
      </w:r>
      <w:proofErr w:type="gramStart"/>
      <w:r w:rsidRPr="00163E7C">
        <w:rPr>
          <w:rFonts w:cs="Arial"/>
          <w:i/>
          <w:sz w:val="22"/>
          <w:szCs w:val="22"/>
        </w:rPr>
        <w:t>op</w:t>
      </w:r>
      <w:proofErr w:type="gramEnd"/>
      <w:r w:rsidRPr="00163E7C">
        <w:rPr>
          <w:rFonts w:cs="Arial"/>
          <w:i/>
          <w:sz w:val="22"/>
          <w:szCs w:val="22"/>
        </w:rPr>
        <w:t xml:space="preserve"> cit.</w:t>
      </w:r>
    </w:p>
  </w:endnote>
  <w:endnote w:id="182">
    <w:p w14:paraId="573AF288" w14:textId="77777777" w:rsidR="00CD076F" w:rsidRPr="00163E7C" w:rsidRDefault="00CD076F" w:rsidP="00072B27">
      <w:pPr>
        <w:pStyle w:val="EndnoteText"/>
        <w:jc w:val="left"/>
        <w:rPr>
          <w:rFonts w:cs="Arial"/>
          <w:sz w:val="22"/>
          <w:szCs w:val="22"/>
        </w:rPr>
      </w:pPr>
      <w:r w:rsidRPr="00163E7C">
        <w:rPr>
          <w:rStyle w:val="EndnoteReference"/>
          <w:rFonts w:eastAsiaTheme="majorEastAsia" w:cs="Arial"/>
          <w:sz w:val="22"/>
          <w:szCs w:val="22"/>
        </w:rPr>
        <w:endnoteRef/>
      </w:r>
      <w:r w:rsidRPr="00163E7C">
        <w:rPr>
          <w:rFonts w:cs="Arial"/>
          <w:sz w:val="22"/>
          <w:szCs w:val="22"/>
        </w:rPr>
        <w:t xml:space="preserve"> </w:t>
      </w:r>
      <w:proofErr w:type="spellStart"/>
      <w:r w:rsidRPr="00163E7C">
        <w:rPr>
          <w:rFonts w:cs="Arial"/>
          <w:sz w:val="22"/>
          <w:szCs w:val="22"/>
        </w:rPr>
        <w:t>Malloch</w:t>
      </w:r>
      <w:proofErr w:type="spellEnd"/>
      <w:r w:rsidRPr="00163E7C">
        <w:rPr>
          <w:rFonts w:cs="Arial"/>
          <w:sz w:val="22"/>
          <w:szCs w:val="22"/>
        </w:rPr>
        <w:t xml:space="preserve">, M., McIvor, G., </w:t>
      </w:r>
      <w:proofErr w:type="spellStart"/>
      <w:r w:rsidRPr="00163E7C">
        <w:rPr>
          <w:rFonts w:cs="Arial"/>
          <w:sz w:val="22"/>
          <w:szCs w:val="22"/>
        </w:rPr>
        <w:t>Schinkel</w:t>
      </w:r>
      <w:proofErr w:type="spellEnd"/>
      <w:r w:rsidRPr="00163E7C">
        <w:rPr>
          <w:rFonts w:cs="Arial"/>
          <w:sz w:val="22"/>
          <w:szCs w:val="22"/>
        </w:rPr>
        <w:t xml:space="preserve">, M. &amp; Armstrong, S. (2013) ‘The Elements of Effective Through-Care Part 1: International Review’. </w:t>
      </w:r>
      <w:proofErr w:type="gramStart"/>
      <w:r w:rsidRPr="00163E7C">
        <w:rPr>
          <w:rFonts w:cs="Arial"/>
          <w:sz w:val="22"/>
          <w:szCs w:val="22"/>
        </w:rPr>
        <w:t>The Scottish Centre for Crime &amp; Justice Research Report No. 03/2013.</w:t>
      </w:r>
      <w:proofErr w:type="gramEnd"/>
      <w:r w:rsidRPr="00163E7C">
        <w:rPr>
          <w:rFonts w:cs="Arial"/>
          <w:sz w:val="22"/>
          <w:szCs w:val="22"/>
        </w:rPr>
        <w:t xml:space="preserve"> URL: </w:t>
      </w:r>
      <w:hyperlink r:id="rId52" w:history="1">
        <w:r w:rsidRPr="00163E7C">
          <w:rPr>
            <w:rStyle w:val="Hyperlink"/>
            <w:rFonts w:cs="Arial"/>
            <w:sz w:val="22"/>
            <w:szCs w:val="22"/>
          </w:rPr>
          <w:t>http://www.sccjr.ac.uk/publications/the-elements-of-effective-through-care-part-1-international-review/</w:t>
        </w:r>
      </w:hyperlink>
    </w:p>
  </w:endnote>
  <w:endnote w:id="183">
    <w:p w14:paraId="0B772F24" w14:textId="77777777" w:rsidR="00CD076F" w:rsidRPr="00163E7C" w:rsidRDefault="00CD076F" w:rsidP="00072B27">
      <w:pPr>
        <w:pStyle w:val="EndnoteText"/>
        <w:jc w:val="left"/>
        <w:rPr>
          <w:rFonts w:cs="Arial"/>
          <w:sz w:val="22"/>
          <w:szCs w:val="22"/>
        </w:rPr>
      </w:pPr>
      <w:r w:rsidRPr="00163E7C">
        <w:rPr>
          <w:rStyle w:val="EndnoteReference"/>
          <w:rFonts w:eastAsiaTheme="majorEastAsia" w:cs="Arial"/>
          <w:sz w:val="22"/>
          <w:szCs w:val="22"/>
        </w:rPr>
        <w:endnoteRef/>
      </w:r>
      <w:r w:rsidRPr="00163E7C">
        <w:rPr>
          <w:rFonts w:cs="Arial"/>
          <w:sz w:val="22"/>
          <w:szCs w:val="22"/>
        </w:rPr>
        <w:t xml:space="preserve"> </w:t>
      </w:r>
      <w:proofErr w:type="gramStart"/>
      <w:r w:rsidRPr="00163E7C">
        <w:rPr>
          <w:rFonts w:cs="Arial"/>
          <w:sz w:val="22"/>
          <w:szCs w:val="22"/>
        </w:rPr>
        <w:t>McIvor et al (2009) Women, resettlement and desistance.</w:t>
      </w:r>
      <w:proofErr w:type="gramEnd"/>
      <w:r w:rsidRPr="00163E7C">
        <w:rPr>
          <w:rFonts w:cs="Arial"/>
          <w:sz w:val="22"/>
          <w:szCs w:val="22"/>
        </w:rPr>
        <w:t xml:space="preserve"> </w:t>
      </w:r>
      <w:r w:rsidRPr="00163E7C">
        <w:rPr>
          <w:rFonts w:cs="Arial"/>
          <w:i/>
          <w:sz w:val="22"/>
          <w:szCs w:val="22"/>
        </w:rPr>
        <w:t>op cit.</w:t>
      </w:r>
      <w:r w:rsidRPr="00163E7C">
        <w:rPr>
          <w:rFonts w:cs="Arial"/>
          <w:sz w:val="22"/>
          <w:szCs w:val="22"/>
        </w:rPr>
        <w:t xml:space="preserve"> citing Morris et al (1995) </w:t>
      </w:r>
    </w:p>
  </w:endnote>
  <w:endnote w:id="184">
    <w:p w14:paraId="7658227C" w14:textId="77777777" w:rsidR="00CD076F" w:rsidRPr="00163E7C" w:rsidRDefault="00CD076F" w:rsidP="00072B27">
      <w:pPr>
        <w:pStyle w:val="EndnoteText"/>
        <w:jc w:val="left"/>
        <w:rPr>
          <w:rFonts w:cs="Arial"/>
          <w:sz w:val="22"/>
          <w:szCs w:val="22"/>
        </w:rPr>
      </w:pPr>
      <w:r w:rsidRPr="00163E7C">
        <w:rPr>
          <w:rStyle w:val="EndnoteReference"/>
          <w:rFonts w:eastAsiaTheme="majorEastAsia" w:cs="Arial"/>
          <w:sz w:val="22"/>
          <w:szCs w:val="22"/>
        </w:rPr>
        <w:endnoteRef/>
      </w:r>
      <w:r w:rsidRPr="00163E7C">
        <w:rPr>
          <w:rFonts w:cs="Arial"/>
          <w:sz w:val="22"/>
          <w:szCs w:val="22"/>
        </w:rPr>
        <w:t xml:space="preserve"> </w:t>
      </w:r>
      <w:proofErr w:type="spellStart"/>
      <w:proofErr w:type="gramStart"/>
      <w:r w:rsidRPr="00163E7C">
        <w:rPr>
          <w:rFonts w:cs="Arial"/>
          <w:sz w:val="22"/>
          <w:szCs w:val="22"/>
        </w:rPr>
        <w:t>Niven</w:t>
      </w:r>
      <w:proofErr w:type="spellEnd"/>
      <w:r w:rsidRPr="00163E7C">
        <w:rPr>
          <w:rFonts w:cs="Arial"/>
          <w:sz w:val="22"/>
          <w:szCs w:val="22"/>
        </w:rPr>
        <w:t>, S. &amp; Stewart, D. (2004) Resettlement Outcomes on Release from Prison in 2003.</w:t>
      </w:r>
      <w:proofErr w:type="gramEnd"/>
      <w:r w:rsidRPr="00163E7C">
        <w:rPr>
          <w:rFonts w:cs="Arial"/>
          <w:sz w:val="22"/>
          <w:szCs w:val="22"/>
        </w:rPr>
        <w:t xml:space="preserve"> London: Home Office. URL: </w:t>
      </w:r>
      <w:hyperlink r:id="rId53" w:history="1">
        <w:r w:rsidRPr="00163E7C">
          <w:rPr>
            <w:rStyle w:val="Hyperlink"/>
            <w:rFonts w:cs="Arial"/>
            <w:sz w:val="22"/>
            <w:szCs w:val="22"/>
          </w:rPr>
          <w:t>http://webarchive.nationalarchives.gov.uk/20130128103514/http://rds.homeoffice.gov.uk/rds/pdfs05/r248.pdf</w:t>
        </w:r>
      </w:hyperlink>
      <w:r w:rsidRPr="00163E7C">
        <w:rPr>
          <w:rFonts w:cs="Arial"/>
          <w:sz w:val="22"/>
          <w:szCs w:val="22"/>
        </w:rPr>
        <w:t xml:space="preserve"> </w:t>
      </w:r>
    </w:p>
  </w:endnote>
  <w:endnote w:id="185">
    <w:p w14:paraId="2E2FE7E8" w14:textId="77777777" w:rsidR="00CD076F" w:rsidRPr="00163E7C" w:rsidRDefault="00CD076F" w:rsidP="00072B27">
      <w:pPr>
        <w:pStyle w:val="EndnoteText"/>
        <w:jc w:val="left"/>
        <w:rPr>
          <w:rFonts w:cs="Arial"/>
          <w:sz w:val="22"/>
          <w:szCs w:val="22"/>
        </w:rPr>
      </w:pPr>
      <w:r w:rsidRPr="00163E7C">
        <w:rPr>
          <w:rStyle w:val="EndnoteReference"/>
          <w:rFonts w:eastAsiaTheme="majorEastAsia" w:cs="Arial"/>
          <w:sz w:val="22"/>
          <w:szCs w:val="22"/>
        </w:rPr>
        <w:endnoteRef/>
      </w:r>
      <w:r w:rsidRPr="00163E7C">
        <w:rPr>
          <w:rFonts w:cs="Arial"/>
          <w:sz w:val="22"/>
          <w:szCs w:val="22"/>
        </w:rPr>
        <w:t xml:space="preserve"> Wilkinson, C. (2004) ‘Women’s Release from Prison: The Case for Change’, in G. McIvor (2004) (</w:t>
      </w:r>
      <w:proofErr w:type="spellStart"/>
      <w:proofErr w:type="gramStart"/>
      <w:r w:rsidRPr="00163E7C">
        <w:rPr>
          <w:rFonts w:cs="Arial"/>
          <w:sz w:val="22"/>
          <w:szCs w:val="22"/>
        </w:rPr>
        <w:t>ed</w:t>
      </w:r>
      <w:proofErr w:type="spellEnd"/>
      <w:proofErr w:type="gramEnd"/>
      <w:r w:rsidRPr="00163E7C">
        <w:rPr>
          <w:rFonts w:cs="Arial"/>
          <w:sz w:val="22"/>
          <w:szCs w:val="22"/>
        </w:rPr>
        <w:t>) Women who Offend. London: Jessica Kingsley.</w:t>
      </w:r>
    </w:p>
  </w:endnote>
  <w:endnote w:id="186">
    <w:p w14:paraId="7EE088AB"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 xml:space="preserve">Bartels &amp; Gaffney (2011) </w:t>
      </w:r>
      <w:r w:rsidRPr="00163E7C">
        <w:rPr>
          <w:rFonts w:cs="Arial"/>
          <w:i/>
          <w:sz w:val="22"/>
          <w:szCs w:val="22"/>
        </w:rPr>
        <w:t>op cit.</w:t>
      </w:r>
      <w:proofErr w:type="gramEnd"/>
    </w:p>
  </w:endnote>
  <w:endnote w:id="187">
    <w:p w14:paraId="06E7FCB7"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See </w:t>
      </w:r>
      <w:hyperlink r:id="rId54" w:history="1">
        <w:r w:rsidRPr="00163E7C">
          <w:rPr>
            <w:rStyle w:val="Hyperlink"/>
            <w:rFonts w:cs="Arial"/>
            <w:sz w:val="22"/>
            <w:szCs w:val="22"/>
          </w:rPr>
          <w:t>http://nicic.gov/wodp/program/203-harriet-house</w:t>
        </w:r>
      </w:hyperlink>
      <w:r w:rsidRPr="00163E7C">
        <w:rPr>
          <w:rFonts w:cs="Arial"/>
          <w:sz w:val="22"/>
          <w:szCs w:val="22"/>
        </w:rPr>
        <w:t xml:space="preserve"> </w:t>
      </w:r>
    </w:p>
  </w:endnote>
  <w:endnote w:id="188">
    <w:p w14:paraId="0CD69DE0"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 xml:space="preserve">Bartels &amp; Gaffney (2011) </w:t>
      </w:r>
      <w:r w:rsidRPr="00163E7C">
        <w:rPr>
          <w:rFonts w:cs="Arial"/>
          <w:i/>
          <w:sz w:val="22"/>
          <w:szCs w:val="22"/>
        </w:rPr>
        <w:t>op cit.</w:t>
      </w:r>
      <w:proofErr w:type="gramEnd"/>
    </w:p>
  </w:endnote>
  <w:endnote w:id="189">
    <w:p w14:paraId="20733FFE"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Sheehan, R. &amp; Flynn, C. (2007) Women prisoners and their children, in Sheehan, R., McIvor, G. &amp; Trotter, C. (2007) (</w:t>
      </w:r>
      <w:proofErr w:type="spellStart"/>
      <w:r w:rsidRPr="00163E7C">
        <w:rPr>
          <w:rFonts w:cs="Arial"/>
          <w:sz w:val="22"/>
          <w:szCs w:val="22"/>
        </w:rPr>
        <w:t>Eds</w:t>
      </w:r>
      <w:proofErr w:type="spellEnd"/>
      <w:r w:rsidRPr="00163E7C">
        <w:rPr>
          <w:rFonts w:cs="Arial"/>
          <w:sz w:val="22"/>
          <w:szCs w:val="22"/>
        </w:rPr>
        <w:t>) What Works with Women Offenders.</w:t>
      </w:r>
      <w:proofErr w:type="gramEnd"/>
      <w:r w:rsidRPr="00163E7C">
        <w:rPr>
          <w:rFonts w:cs="Arial"/>
          <w:sz w:val="22"/>
          <w:szCs w:val="22"/>
        </w:rPr>
        <w:t xml:space="preserve"> </w:t>
      </w:r>
      <w:proofErr w:type="spellStart"/>
      <w:r w:rsidRPr="00163E7C">
        <w:rPr>
          <w:rFonts w:cs="Arial"/>
          <w:sz w:val="22"/>
          <w:szCs w:val="22"/>
        </w:rPr>
        <w:t>Willan</w:t>
      </w:r>
      <w:proofErr w:type="spellEnd"/>
      <w:r w:rsidRPr="00163E7C">
        <w:rPr>
          <w:rFonts w:cs="Arial"/>
          <w:sz w:val="22"/>
          <w:szCs w:val="22"/>
        </w:rPr>
        <w:t xml:space="preserve"> Publishing: </w:t>
      </w:r>
      <w:proofErr w:type="spellStart"/>
      <w:r w:rsidRPr="00163E7C">
        <w:rPr>
          <w:rFonts w:cs="Arial"/>
          <w:sz w:val="22"/>
          <w:szCs w:val="22"/>
        </w:rPr>
        <w:t>Cullompton</w:t>
      </w:r>
      <w:proofErr w:type="spellEnd"/>
      <w:r w:rsidRPr="00163E7C">
        <w:rPr>
          <w:rFonts w:cs="Arial"/>
          <w:sz w:val="22"/>
          <w:szCs w:val="22"/>
        </w:rPr>
        <w:t xml:space="preserve">.  </w:t>
      </w:r>
    </w:p>
  </w:endnote>
  <w:endnote w:id="190">
    <w:p w14:paraId="006AADCC"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Prison Reform Trust (PRT) (2013) International Good Practice. </w:t>
      </w:r>
      <w:r w:rsidRPr="00163E7C">
        <w:rPr>
          <w:rFonts w:cs="Arial"/>
          <w:i/>
          <w:sz w:val="22"/>
          <w:szCs w:val="22"/>
        </w:rPr>
        <w:t>op cit.</w:t>
      </w:r>
      <w:r w:rsidRPr="00163E7C">
        <w:rPr>
          <w:rFonts w:cs="Arial"/>
          <w:sz w:val="22"/>
          <w:szCs w:val="22"/>
        </w:rPr>
        <w:t xml:space="preserve"> citing The Sentencing Project and Craig, S. (2009) (p43)</w:t>
      </w:r>
    </w:p>
  </w:endnote>
  <w:endnote w:id="191">
    <w:p w14:paraId="179A1945"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See Mason-White, H. &amp; Kearney, H. (2012) Children of (Alleged) Offenders: Revised Draft Framework for Decision-Making.  </w:t>
      </w:r>
      <w:proofErr w:type="gramStart"/>
      <w:r w:rsidRPr="00163E7C">
        <w:rPr>
          <w:rFonts w:cs="Arial"/>
          <w:sz w:val="22"/>
          <w:szCs w:val="22"/>
        </w:rPr>
        <w:t>Quaker UN Office.</w:t>
      </w:r>
      <w:proofErr w:type="gramEnd"/>
      <w:r w:rsidRPr="00163E7C">
        <w:rPr>
          <w:rFonts w:cs="Arial"/>
          <w:sz w:val="22"/>
          <w:szCs w:val="22"/>
        </w:rPr>
        <w:t xml:space="preserve"> URL:  </w:t>
      </w:r>
      <w:hyperlink r:id="rId55" w:history="1">
        <w:r w:rsidRPr="00163E7C">
          <w:rPr>
            <w:rStyle w:val="Hyperlink"/>
            <w:rFonts w:cs="Arial"/>
            <w:sz w:val="22"/>
            <w:szCs w:val="22"/>
          </w:rPr>
          <w:t>http://www.quno.org/resource/2012/3/children-alleged-offenders-revised-draft-framework-decision-making</w:t>
        </w:r>
      </w:hyperlink>
      <w:r w:rsidRPr="00163E7C">
        <w:rPr>
          <w:rFonts w:cs="Arial"/>
          <w:sz w:val="22"/>
          <w:szCs w:val="22"/>
        </w:rPr>
        <w:t xml:space="preserve"> </w:t>
      </w:r>
    </w:p>
  </w:endnote>
  <w:endnote w:id="192">
    <w:p w14:paraId="0DC81B5A"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Sheehan, R. &amp; Flynn, C. (2007) Women prisoners and their children.</w:t>
      </w:r>
      <w:proofErr w:type="gramEnd"/>
      <w:r w:rsidRPr="00163E7C">
        <w:rPr>
          <w:rFonts w:cs="Arial"/>
          <w:sz w:val="22"/>
          <w:szCs w:val="22"/>
        </w:rPr>
        <w:t xml:space="preserve"> </w:t>
      </w:r>
      <w:proofErr w:type="gramStart"/>
      <w:r w:rsidRPr="00163E7C">
        <w:rPr>
          <w:rFonts w:cs="Arial"/>
          <w:i/>
          <w:sz w:val="22"/>
          <w:szCs w:val="22"/>
        </w:rPr>
        <w:t>op</w:t>
      </w:r>
      <w:proofErr w:type="gramEnd"/>
      <w:r w:rsidRPr="00163E7C">
        <w:rPr>
          <w:rFonts w:cs="Arial"/>
          <w:i/>
          <w:sz w:val="22"/>
          <w:szCs w:val="22"/>
        </w:rPr>
        <w:t xml:space="preserve"> cit.</w:t>
      </w:r>
    </w:p>
  </w:endnote>
  <w:endnote w:id="193">
    <w:p w14:paraId="50CDFBE9" w14:textId="77777777" w:rsidR="00CD076F" w:rsidRPr="00163E7C" w:rsidRDefault="00CD076F" w:rsidP="00072B27">
      <w:pPr>
        <w:pStyle w:val="EndnoteText"/>
        <w:jc w:val="left"/>
        <w:rPr>
          <w:rFonts w:cs="Arial"/>
          <w:sz w:val="22"/>
          <w:szCs w:val="22"/>
        </w:rPr>
      </w:pPr>
      <w:r w:rsidRPr="00163E7C">
        <w:rPr>
          <w:rStyle w:val="EndnoteReference"/>
          <w:rFonts w:eastAsiaTheme="majorEastAsia" w:cs="Arial"/>
          <w:sz w:val="22"/>
          <w:szCs w:val="22"/>
        </w:rPr>
        <w:endnoteRef/>
      </w:r>
      <w:r w:rsidRPr="00163E7C">
        <w:rPr>
          <w:rFonts w:cs="Arial"/>
          <w:sz w:val="22"/>
          <w:szCs w:val="22"/>
        </w:rPr>
        <w:t xml:space="preserve"> Williams, K., </w:t>
      </w:r>
      <w:proofErr w:type="spellStart"/>
      <w:r w:rsidRPr="00163E7C">
        <w:rPr>
          <w:rFonts w:cs="Arial"/>
          <w:sz w:val="22"/>
          <w:szCs w:val="22"/>
        </w:rPr>
        <w:t>Papadopoulou</w:t>
      </w:r>
      <w:proofErr w:type="spellEnd"/>
      <w:r w:rsidRPr="00163E7C">
        <w:rPr>
          <w:rFonts w:cs="Arial"/>
          <w:sz w:val="22"/>
          <w:szCs w:val="22"/>
        </w:rPr>
        <w:t>, V. and Booth, N. (2012) Prisoners’ childhood and family backgrounds. Results from the Surveying Prisoner Crime Reduction longitudinal cohort study of prisoners. London: Ministry of Justice. URL:</w:t>
      </w:r>
    </w:p>
    <w:p w14:paraId="09460249" w14:textId="77777777" w:rsidR="00CD076F" w:rsidRPr="00163E7C" w:rsidRDefault="00246821" w:rsidP="00072B27">
      <w:pPr>
        <w:pStyle w:val="EndnoteText"/>
        <w:jc w:val="left"/>
        <w:rPr>
          <w:rFonts w:cs="Arial"/>
          <w:sz w:val="22"/>
          <w:szCs w:val="22"/>
        </w:rPr>
      </w:pPr>
      <w:hyperlink r:id="rId56" w:history="1">
        <w:r w:rsidR="00CD076F" w:rsidRPr="00163E7C">
          <w:rPr>
            <w:rStyle w:val="Hyperlink"/>
            <w:rFonts w:cs="Arial"/>
            <w:sz w:val="22"/>
            <w:szCs w:val="22"/>
          </w:rPr>
          <w:t>https://www.gov.uk/government/uploads/system/uploads/attachment_data/file/278837/prisoners-childhood-family-backgrounds.pdf</w:t>
        </w:r>
      </w:hyperlink>
    </w:p>
  </w:endnote>
  <w:endnote w:id="194">
    <w:p w14:paraId="5DD26436"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Bartels &amp; Gaffney (2011) </w:t>
      </w:r>
      <w:r w:rsidRPr="00163E7C">
        <w:rPr>
          <w:rFonts w:cs="Arial"/>
          <w:i/>
          <w:sz w:val="22"/>
          <w:szCs w:val="22"/>
        </w:rPr>
        <w:t xml:space="preserve">Op </w:t>
      </w:r>
      <w:proofErr w:type="gramStart"/>
      <w:r w:rsidRPr="00163E7C">
        <w:rPr>
          <w:rFonts w:cs="Arial"/>
          <w:i/>
          <w:sz w:val="22"/>
          <w:szCs w:val="22"/>
        </w:rPr>
        <w:t>cit.</w:t>
      </w:r>
      <w:r w:rsidRPr="00163E7C">
        <w:rPr>
          <w:rFonts w:cs="Arial"/>
          <w:sz w:val="22"/>
          <w:szCs w:val="22"/>
        </w:rPr>
        <w:t>.</w:t>
      </w:r>
      <w:proofErr w:type="gramEnd"/>
    </w:p>
  </w:endnote>
  <w:endnote w:id="195">
    <w:p w14:paraId="6B5B6692"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spellStart"/>
      <w:proofErr w:type="gramStart"/>
      <w:r w:rsidRPr="00163E7C">
        <w:rPr>
          <w:rFonts w:cs="Arial"/>
          <w:sz w:val="22"/>
          <w:szCs w:val="22"/>
        </w:rPr>
        <w:t>AfPF</w:t>
      </w:r>
      <w:proofErr w:type="spellEnd"/>
      <w:r w:rsidRPr="00163E7C">
        <w:rPr>
          <w:rFonts w:cs="Arial"/>
          <w:sz w:val="22"/>
          <w:szCs w:val="22"/>
        </w:rPr>
        <w:t xml:space="preserve"> (2013) Facts and Figures about Prisoners’ Families, o</w:t>
      </w:r>
      <w:r w:rsidRPr="00163E7C">
        <w:rPr>
          <w:rFonts w:cs="Arial"/>
          <w:i/>
          <w:sz w:val="22"/>
          <w:szCs w:val="22"/>
        </w:rPr>
        <w:t>p cit.</w:t>
      </w:r>
      <w:proofErr w:type="gramEnd"/>
    </w:p>
  </w:endnote>
  <w:endnote w:id="196">
    <w:p w14:paraId="2C7AF204"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w:t>
      </w:r>
    </w:p>
  </w:endnote>
  <w:endnote w:id="197">
    <w:p w14:paraId="03A34A6A"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 citing Social Exclusion Unit Reducing re-offending by ex-prisoners (2002) </w:t>
      </w:r>
      <w:r w:rsidRPr="00163E7C">
        <w:rPr>
          <w:rFonts w:cs="Arial"/>
          <w:i/>
          <w:sz w:val="22"/>
          <w:szCs w:val="22"/>
        </w:rPr>
        <w:t xml:space="preserve">Op </w:t>
      </w:r>
      <w:proofErr w:type="gramStart"/>
      <w:r w:rsidRPr="00163E7C">
        <w:rPr>
          <w:rFonts w:cs="Arial"/>
          <w:i/>
          <w:sz w:val="22"/>
          <w:szCs w:val="22"/>
        </w:rPr>
        <w:t>cit.</w:t>
      </w:r>
      <w:r w:rsidRPr="00163E7C">
        <w:rPr>
          <w:rFonts w:cs="Arial"/>
          <w:sz w:val="22"/>
          <w:szCs w:val="22"/>
        </w:rPr>
        <w:t>.</w:t>
      </w:r>
      <w:proofErr w:type="gramEnd"/>
    </w:p>
  </w:endnote>
  <w:endnote w:id="198">
    <w:p w14:paraId="2A6A7882"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Sheehan, R. &amp; Flynn, C. (2007) Women prisoners and their children.</w:t>
      </w:r>
      <w:proofErr w:type="gramEnd"/>
      <w:r w:rsidRPr="00163E7C">
        <w:rPr>
          <w:rFonts w:cs="Arial"/>
          <w:sz w:val="22"/>
          <w:szCs w:val="22"/>
        </w:rPr>
        <w:t xml:space="preserve"> </w:t>
      </w:r>
      <w:r w:rsidRPr="00163E7C">
        <w:rPr>
          <w:rFonts w:cs="Arial"/>
          <w:i/>
          <w:sz w:val="22"/>
          <w:szCs w:val="22"/>
        </w:rPr>
        <w:t>Op cit.</w:t>
      </w:r>
      <w:r w:rsidRPr="00163E7C">
        <w:rPr>
          <w:rFonts w:cs="Arial"/>
          <w:sz w:val="22"/>
          <w:szCs w:val="22"/>
        </w:rPr>
        <w:t xml:space="preserve">., citing </w:t>
      </w:r>
      <w:proofErr w:type="spellStart"/>
      <w:r w:rsidRPr="00163E7C">
        <w:rPr>
          <w:rFonts w:cs="Arial"/>
          <w:sz w:val="22"/>
          <w:szCs w:val="22"/>
        </w:rPr>
        <w:t>Baunach</w:t>
      </w:r>
      <w:proofErr w:type="spellEnd"/>
      <w:r w:rsidRPr="00163E7C">
        <w:rPr>
          <w:rFonts w:cs="Arial"/>
          <w:sz w:val="22"/>
          <w:szCs w:val="22"/>
        </w:rPr>
        <w:t xml:space="preserve"> (1985) </w:t>
      </w:r>
    </w:p>
  </w:endnote>
  <w:endnote w:id="199">
    <w:p w14:paraId="519DEF50"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 citing </w:t>
      </w:r>
      <w:proofErr w:type="spellStart"/>
      <w:r w:rsidRPr="00163E7C">
        <w:rPr>
          <w:rFonts w:cs="Arial"/>
          <w:sz w:val="22"/>
          <w:szCs w:val="22"/>
        </w:rPr>
        <w:t>Kampfner</w:t>
      </w:r>
      <w:proofErr w:type="spellEnd"/>
      <w:r w:rsidRPr="00163E7C">
        <w:rPr>
          <w:rFonts w:cs="Arial"/>
          <w:sz w:val="22"/>
          <w:szCs w:val="22"/>
        </w:rPr>
        <w:t xml:space="preserve"> (1995) </w:t>
      </w:r>
    </w:p>
  </w:endnote>
  <w:endnote w:id="200">
    <w:p w14:paraId="32F2B2F8"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 citing Seymour (1998) </w:t>
      </w:r>
    </w:p>
  </w:endnote>
  <w:endnote w:id="201">
    <w:p w14:paraId="23C8A4F2"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spellStart"/>
      <w:proofErr w:type="gramStart"/>
      <w:r w:rsidRPr="00163E7C">
        <w:rPr>
          <w:rFonts w:cs="Arial"/>
          <w:sz w:val="22"/>
          <w:szCs w:val="22"/>
        </w:rPr>
        <w:t>AfPF</w:t>
      </w:r>
      <w:proofErr w:type="spellEnd"/>
      <w:r w:rsidRPr="00163E7C">
        <w:rPr>
          <w:rFonts w:cs="Arial"/>
          <w:sz w:val="22"/>
          <w:szCs w:val="22"/>
        </w:rPr>
        <w:t xml:space="preserve"> (2013) citing </w:t>
      </w:r>
      <w:proofErr w:type="spellStart"/>
      <w:r w:rsidRPr="00163E7C">
        <w:rPr>
          <w:rFonts w:cs="Arial"/>
          <w:sz w:val="22"/>
          <w:szCs w:val="22"/>
        </w:rPr>
        <w:t>AfPF</w:t>
      </w:r>
      <w:proofErr w:type="spellEnd"/>
      <w:r w:rsidRPr="00163E7C">
        <w:rPr>
          <w:rFonts w:cs="Arial"/>
          <w:sz w:val="22"/>
          <w:szCs w:val="22"/>
        </w:rPr>
        <w:t xml:space="preserve"> (2003) Exploring the needs of young people with a prisoner in the family, </w:t>
      </w:r>
      <w:r w:rsidRPr="00163E7C">
        <w:rPr>
          <w:rFonts w:cs="Arial"/>
          <w:i/>
          <w:sz w:val="22"/>
          <w:szCs w:val="22"/>
        </w:rPr>
        <w:t>op cit.</w:t>
      </w:r>
      <w:proofErr w:type="gramEnd"/>
    </w:p>
  </w:endnote>
  <w:endnote w:id="202">
    <w:p w14:paraId="636C8B03"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Sheehan, R. &amp; Flynn, C. (2007) citing </w:t>
      </w:r>
      <w:proofErr w:type="spellStart"/>
      <w:r w:rsidRPr="00163E7C">
        <w:rPr>
          <w:rFonts w:cs="Arial"/>
          <w:sz w:val="22"/>
          <w:szCs w:val="22"/>
        </w:rPr>
        <w:t>Kampfner</w:t>
      </w:r>
      <w:proofErr w:type="spellEnd"/>
      <w:r w:rsidRPr="00163E7C">
        <w:rPr>
          <w:rFonts w:cs="Arial"/>
          <w:sz w:val="22"/>
          <w:szCs w:val="22"/>
        </w:rPr>
        <w:t xml:space="preserve"> (1995) </w:t>
      </w:r>
      <w:r w:rsidRPr="00163E7C">
        <w:rPr>
          <w:rFonts w:cs="Arial"/>
          <w:i/>
          <w:sz w:val="22"/>
          <w:szCs w:val="22"/>
        </w:rPr>
        <w:t>op cit.</w:t>
      </w:r>
    </w:p>
  </w:endnote>
  <w:endnote w:id="203">
    <w:p w14:paraId="561DEDA5"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spellStart"/>
      <w:proofErr w:type="gramStart"/>
      <w:r w:rsidRPr="00163E7C">
        <w:rPr>
          <w:rFonts w:cs="Arial"/>
          <w:sz w:val="22"/>
          <w:szCs w:val="22"/>
        </w:rPr>
        <w:t>AfPF</w:t>
      </w:r>
      <w:proofErr w:type="spellEnd"/>
      <w:r w:rsidRPr="00163E7C">
        <w:rPr>
          <w:rFonts w:cs="Arial"/>
          <w:sz w:val="22"/>
          <w:szCs w:val="22"/>
        </w:rPr>
        <w:t xml:space="preserve"> (2013) Facts and Figures about Prisoners’ Families, </w:t>
      </w:r>
      <w:r w:rsidRPr="00163E7C">
        <w:rPr>
          <w:rFonts w:cs="Arial"/>
          <w:i/>
          <w:sz w:val="22"/>
          <w:szCs w:val="22"/>
        </w:rPr>
        <w:t>op cit.</w:t>
      </w:r>
      <w:proofErr w:type="gramEnd"/>
    </w:p>
  </w:endnote>
  <w:endnote w:id="204">
    <w:p w14:paraId="5532C0EF"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 citing New Economics Foundation (2008) Unlocking Value: How we will all benefit in investing in alternatives to prison for women offenders</w:t>
      </w:r>
    </w:p>
  </w:endnote>
  <w:endnote w:id="205">
    <w:p w14:paraId="1720838B"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Sheehan, R. &amp; Flynn, C. (2007) citing Hagan (1996) &amp; Eddy and Reid (2003) o</w:t>
      </w:r>
      <w:r w:rsidRPr="00163E7C">
        <w:rPr>
          <w:rFonts w:cs="Arial"/>
          <w:i/>
          <w:sz w:val="22"/>
          <w:szCs w:val="22"/>
        </w:rPr>
        <w:t>p cit.</w:t>
      </w:r>
      <w:proofErr w:type="gramEnd"/>
    </w:p>
  </w:endnote>
  <w:endnote w:id="206">
    <w:p w14:paraId="5563227E" w14:textId="77777777" w:rsidR="00CD076F" w:rsidRPr="00163E7C" w:rsidRDefault="00CD076F" w:rsidP="00465088">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 citing Murray, J (2003) </w:t>
      </w:r>
      <w:r w:rsidRPr="00163E7C">
        <w:rPr>
          <w:rFonts w:cs="Arial"/>
          <w:iCs/>
          <w:sz w:val="22"/>
          <w:szCs w:val="22"/>
        </w:rPr>
        <w:t>Fathers in Prison</w:t>
      </w:r>
    </w:p>
  </w:endnote>
  <w:endnote w:id="207">
    <w:p w14:paraId="572F220D"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spellStart"/>
      <w:r w:rsidRPr="00163E7C">
        <w:rPr>
          <w:rFonts w:cs="Arial"/>
          <w:sz w:val="22"/>
          <w:szCs w:val="22"/>
        </w:rPr>
        <w:t>AfPF</w:t>
      </w:r>
      <w:proofErr w:type="spellEnd"/>
      <w:r w:rsidRPr="00163E7C">
        <w:rPr>
          <w:rFonts w:cs="Arial"/>
          <w:sz w:val="22"/>
          <w:szCs w:val="22"/>
        </w:rPr>
        <w:t xml:space="preserve"> (2013) Facts and Figures about Prisoners’ Families, </w:t>
      </w:r>
      <w:r w:rsidRPr="00163E7C">
        <w:rPr>
          <w:rFonts w:cs="Arial"/>
          <w:i/>
          <w:sz w:val="22"/>
          <w:szCs w:val="22"/>
        </w:rPr>
        <w:t>op cit</w:t>
      </w:r>
      <w:r w:rsidRPr="00163E7C">
        <w:rPr>
          <w:rFonts w:cs="Arial"/>
          <w:sz w:val="22"/>
          <w:szCs w:val="22"/>
        </w:rPr>
        <w:t xml:space="preserve">., citing Murray &amp; Farrington (2008) </w:t>
      </w:r>
      <w:proofErr w:type="gramStart"/>
      <w:r w:rsidRPr="00163E7C">
        <w:rPr>
          <w:rFonts w:cs="Arial"/>
          <w:sz w:val="22"/>
          <w:szCs w:val="22"/>
        </w:rPr>
        <w:t>The</w:t>
      </w:r>
      <w:proofErr w:type="gramEnd"/>
      <w:r w:rsidRPr="00163E7C">
        <w:rPr>
          <w:rFonts w:cs="Arial"/>
          <w:sz w:val="22"/>
          <w:szCs w:val="22"/>
        </w:rPr>
        <w:t xml:space="preserve"> effects of parental imprisonment on children. </w:t>
      </w:r>
    </w:p>
  </w:endnote>
  <w:endnote w:id="208">
    <w:p w14:paraId="463A243D"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Sheehan, R. &amp; Flynn, C. (2007) Women prisoners and their children.</w:t>
      </w:r>
      <w:proofErr w:type="gramEnd"/>
      <w:r w:rsidRPr="00163E7C">
        <w:rPr>
          <w:rFonts w:cs="Arial"/>
          <w:sz w:val="22"/>
          <w:szCs w:val="22"/>
        </w:rPr>
        <w:t xml:space="preserve"> </w:t>
      </w:r>
      <w:r w:rsidRPr="00163E7C">
        <w:rPr>
          <w:rFonts w:cs="Arial"/>
          <w:i/>
          <w:sz w:val="22"/>
          <w:szCs w:val="22"/>
        </w:rPr>
        <w:t>op cit.</w:t>
      </w:r>
      <w:r w:rsidRPr="00163E7C">
        <w:rPr>
          <w:rFonts w:cs="Arial"/>
          <w:sz w:val="22"/>
          <w:szCs w:val="22"/>
        </w:rPr>
        <w:t xml:space="preserve"> citing Seymour (1998) </w:t>
      </w:r>
    </w:p>
  </w:endnote>
  <w:endnote w:id="209">
    <w:p w14:paraId="3F8D17FE"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spellStart"/>
      <w:r w:rsidRPr="00163E7C">
        <w:rPr>
          <w:rFonts w:cs="Arial"/>
          <w:sz w:val="22"/>
          <w:szCs w:val="22"/>
        </w:rPr>
        <w:t>AfPF</w:t>
      </w:r>
      <w:proofErr w:type="spellEnd"/>
      <w:r w:rsidRPr="00163E7C">
        <w:rPr>
          <w:rFonts w:cs="Arial"/>
          <w:sz w:val="22"/>
          <w:szCs w:val="22"/>
        </w:rPr>
        <w:t xml:space="preserve"> (2013) Facts and Figures about Prisoners’ Families, </w:t>
      </w:r>
      <w:r w:rsidRPr="00163E7C">
        <w:rPr>
          <w:rFonts w:cs="Arial"/>
          <w:i/>
          <w:sz w:val="22"/>
          <w:szCs w:val="22"/>
        </w:rPr>
        <w:t>op cit.</w:t>
      </w:r>
      <w:r w:rsidRPr="00163E7C">
        <w:rPr>
          <w:rFonts w:cs="Arial"/>
          <w:sz w:val="22"/>
          <w:szCs w:val="22"/>
        </w:rPr>
        <w:t xml:space="preserve"> citing Murray, J (2003) </w:t>
      </w:r>
      <w:r w:rsidRPr="00163E7C">
        <w:rPr>
          <w:rFonts w:cs="Arial"/>
          <w:iCs/>
          <w:sz w:val="22"/>
          <w:szCs w:val="22"/>
        </w:rPr>
        <w:t>Fathers in Prison</w:t>
      </w:r>
    </w:p>
  </w:endnote>
  <w:endnote w:id="210">
    <w:p w14:paraId="22DE5154"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ICPS (2008) International Profile of Women’s Prisons.</w:t>
      </w:r>
      <w:proofErr w:type="gramEnd"/>
      <w:r w:rsidRPr="00163E7C">
        <w:rPr>
          <w:rFonts w:cs="Arial"/>
          <w:sz w:val="22"/>
          <w:szCs w:val="22"/>
        </w:rPr>
        <w:t xml:space="preserve">  </w:t>
      </w:r>
      <w:proofErr w:type="gramStart"/>
      <w:r w:rsidRPr="00163E7C">
        <w:rPr>
          <w:rFonts w:cs="Arial"/>
          <w:i/>
          <w:sz w:val="22"/>
          <w:szCs w:val="22"/>
        </w:rPr>
        <w:t>op</w:t>
      </w:r>
      <w:proofErr w:type="gramEnd"/>
      <w:r w:rsidRPr="00163E7C">
        <w:rPr>
          <w:rFonts w:cs="Arial"/>
          <w:i/>
          <w:sz w:val="22"/>
          <w:szCs w:val="22"/>
        </w:rPr>
        <w:t xml:space="preserve"> cit.</w:t>
      </w:r>
    </w:p>
  </w:endnote>
  <w:endnote w:id="211">
    <w:p w14:paraId="45E2C620"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Prison Reform Trust (PRT) (2013) International Good Practice</w:t>
      </w:r>
      <w:r w:rsidRPr="00163E7C">
        <w:rPr>
          <w:rFonts w:cs="Arial"/>
          <w:i/>
          <w:sz w:val="22"/>
          <w:szCs w:val="22"/>
        </w:rPr>
        <w:t>. op cit.</w:t>
      </w:r>
      <w:r w:rsidRPr="00163E7C">
        <w:rPr>
          <w:rFonts w:cs="Arial"/>
          <w:sz w:val="22"/>
          <w:szCs w:val="22"/>
        </w:rPr>
        <w:t xml:space="preserve"> p48</w:t>
      </w:r>
    </w:p>
  </w:endnote>
  <w:endnote w:id="212">
    <w:p w14:paraId="27D7A5D3"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ICPS (2008) International Profile of Women’s Prisons.</w:t>
      </w:r>
      <w:proofErr w:type="gramEnd"/>
      <w:r w:rsidRPr="00163E7C">
        <w:rPr>
          <w:rFonts w:cs="Arial"/>
          <w:sz w:val="22"/>
          <w:szCs w:val="22"/>
        </w:rPr>
        <w:t xml:space="preserve"> </w:t>
      </w:r>
      <w:proofErr w:type="gramStart"/>
      <w:r w:rsidRPr="00163E7C">
        <w:rPr>
          <w:rFonts w:cs="Arial"/>
          <w:i/>
          <w:sz w:val="22"/>
          <w:szCs w:val="22"/>
        </w:rPr>
        <w:t>op</w:t>
      </w:r>
      <w:proofErr w:type="gramEnd"/>
      <w:r w:rsidRPr="00163E7C">
        <w:rPr>
          <w:rFonts w:cs="Arial"/>
          <w:i/>
          <w:sz w:val="22"/>
          <w:szCs w:val="22"/>
        </w:rPr>
        <w:t xml:space="preserve"> cit.</w:t>
      </w:r>
    </w:p>
  </w:endnote>
  <w:endnote w:id="213">
    <w:p w14:paraId="17014E38"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w:t>
      </w:r>
    </w:p>
  </w:endnote>
  <w:endnote w:id="214">
    <w:p w14:paraId="28228786"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w:t>
      </w:r>
    </w:p>
  </w:endnote>
  <w:endnote w:id="215">
    <w:p w14:paraId="4FB5D69A"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Pratt, J. (2008) </w:t>
      </w:r>
      <w:r w:rsidRPr="00163E7C">
        <w:rPr>
          <w:rFonts w:cs="Arial"/>
          <w:i/>
          <w:sz w:val="22"/>
          <w:szCs w:val="22"/>
        </w:rPr>
        <w:t xml:space="preserve">Op </w:t>
      </w:r>
      <w:proofErr w:type="gramStart"/>
      <w:r w:rsidRPr="00163E7C">
        <w:rPr>
          <w:rFonts w:cs="Arial"/>
          <w:i/>
          <w:sz w:val="22"/>
          <w:szCs w:val="22"/>
        </w:rPr>
        <w:t>cit.</w:t>
      </w:r>
      <w:r w:rsidRPr="00163E7C">
        <w:rPr>
          <w:rFonts w:cs="Arial"/>
          <w:sz w:val="22"/>
          <w:szCs w:val="22"/>
        </w:rPr>
        <w:t>.</w:t>
      </w:r>
      <w:proofErr w:type="gramEnd"/>
    </w:p>
  </w:endnote>
  <w:endnote w:id="216">
    <w:p w14:paraId="0DF6B142"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See </w:t>
      </w:r>
      <w:hyperlink r:id="rId57" w:anchor="norway" w:history="1">
        <w:r w:rsidRPr="00163E7C">
          <w:rPr>
            <w:rStyle w:val="Hyperlink"/>
            <w:rFonts w:cs="Arial"/>
            <w:sz w:val="22"/>
            <w:szCs w:val="22"/>
          </w:rPr>
          <w:t>http://www.loc.gov/law/help/children-residing-with-parents-in-prison/foreign.php#norway</w:t>
        </w:r>
      </w:hyperlink>
      <w:r w:rsidRPr="00163E7C">
        <w:rPr>
          <w:rFonts w:cs="Arial"/>
          <w:sz w:val="22"/>
          <w:szCs w:val="22"/>
        </w:rPr>
        <w:t xml:space="preserve"> </w:t>
      </w:r>
    </w:p>
  </w:endnote>
  <w:endnote w:id="217">
    <w:p w14:paraId="4BFAE640" w14:textId="77777777" w:rsidR="00CD076F" w:rsidRPr="00163E7C" w:rsidRDefault="00CD076F" w:rsidP="008A37EC">
      <w:pPr>
        <w:pStyle w:val="EndnoteText"/>
        <w:rPr>
          <w:sz w:val="22"/>
          <w:szCs w:val="22"/>
        </w:rPr>
      </w:pPr>
      <w:r w:rsidRPr="00163E7C">
        <w:rPr>
          <w:rStyle w:val="EndnoteReference"/>
          <w:sz w:val="22"/>
          <w:szCs w:val="22"/>
        </w:rPr>
        <w:endnoteRef/>
      </w:r>
      <w:r w:rsidRPr="00163E7C">
        <w:rPr>
          <w:sz w:val="22"/>
          <w:szCs w:val="22"/>
        </w:rPr>
        <w:t xml:space="preserve"> Spanish Penitentiary Institution (SPI) (2011) </w:t>
      </w:r>
      <w:proofErr w:type="gramStart"/>
      <w:r w:rsidRPr="00163E7C">
        <w:rPr>
          <w:i/>
          <w:sz w:val="22"/>
          <w:szCs w:val="22"/>
        </w:rPr>
        <w:t>The</w:t>
      </w:r>
      <w:proofErr w:type="gramEnd"/>
      <w:r w:rsidRPr="00163E7C">
        <w:rPr>
          <w:i/>
          <w:sz w:val="22"/>
          <w:szCs w:val="22"/>
        </w:rPr>
        <w:t xml:space="preserve"> Spanish Prison System. </w:t>
      </w:r>
      <w:r w:rsidRPr="00163E7C">
        <w:rPr>
          <w:sz w:val="22"/>
          <w:szCs w:val="22"/>
        </w:rPr>
        <w:t>URL:</w:t>
      </w:r>
      <w:r w:rsidRPr="00163E7C">
        <w:rPr>
          <w:i/>
          <w:sz w:val="22"/>
          <w:szCs w:val="22"/>
        </w:rPr>
        <w:t xml:space="preserve"> </w:t>
      </w:r>
      <w:hyperlink r:id="rId58" w:history="1">
        <w:r w:rsidRPr="00163E7C">
          <w:rPr>
            <w:rStyle w:val="Hyperlink"/>
            <w:sz w:val="22"/>
            <w:szCs w:val="22"/>
          </w:rPr>
          <w:t>http://www.institucionpenitenciaria.es/web/export/sites/default/datos/descargables/publicaciones/libro_IP_inglxs.pdf</w:t>
        </w:r>
      </w:hyperlink>
      <w:r w:rsidRPr="00163E7C">
        <w:rPr>
          <w:sz w:val="22"/>
          <w:szCs w:val="22"/>
        </w:rPr>
        <w:t xml:space="preserve"> </w:t>
      </w:r>
    </w:p>
  </w:endnote>
  <w:endnote w:id="218">
    <w:p w14:paraId="736004B5" w14:textId="77777777" w:rsidR="00CD076F" w:rsidRPr="00163E7C" w:rsidRDefault="00CD076F" w:rsidP="008A37EC">
      <w:pPr>
        <w:pStyle w:val="EndnoteText"/>
        <w:rPr>
          <w:sz w:val="22"/>
          <w:szCs w:val="22"/>
        </w:rPr>
      </w:pPr>
      <w:r w:rsidRPr="00163E7C">
        <w:rPr>
          <w:rStyle w:val="EndnoteReference"/>
          <w:sz w:val="22"/>
          <w:szCs w:val="22"/>
        </w:rPr>
        <w:endnoteRef/>
      </w:r>
      <w:r w:rsidRPr="00163E7C">
        <w:rPr>
          <w:sz w:val="22"/>
          <w:szCs w:val="22"/>
        </w:rPr>
        <w:t xml:space="preserve"> </w:t>
      </w:r>
      <w:proofErr w:type="gramStart"/>
      <w:r w:rsidRPr="00163E7C">
        <w:rPr>
          <w:sz w:val="22"/>
          <w:szCs w:val="22"/>
        </w:rPr>
        <w:t xml:space="preserve">Bartels &amp; Gaffney (2011) </w:t>
      </w:r>
      <w:r w:rsidRPr="00163E7C">
        <w:rPr>
          <w:i/>
          <w:sz w:val="22"/>
          <w:szCs w:val="22"/>
        </w:rPr>
        <w:t>op cit.</w:t>
      </w:r>
      <w:proofErr w:type="gramEnd"/>
    </w:p>
  </w:endnote>
  <w:endnote w:id="219">
    <w:p w14:paraId="45A17D54" w14:textId="77777777" w:rsidR="00CD076F" w:rsidRPr="00EB29FB" w:rsidRDefault="00CD076F" w:rsidP="008A37EC">
      <w:pPr>
        <w:pStyle w:val="EndnoteText"/>
        <w:rPr>
          <w:sz w:val="22"/>
          <w:szCs w:val="22"/>
        </w:rPr>
      </w:pPr>
      <w:r w:rsidRPr="00163E7C">
        <w:rPr>
          <w:rStyle w:val="EndnoteReference"/>
          <w:sz w:val="22"/>
          <w:szCs w:val="22"/>
        </w:rPr>
        <w:endnoteRef/>
      </w:r>
      <w:r w:rsidRPr="00163E7C">
        <w:rPr>
          <w:sz w:val="22"/>
          <w:szCs w:val="22"/>
        </w:rPr>
        <w:t xml:space="preserve"> </w:t>
      </w:r>
      <w:proofErr w:type="gramStart"/>
      <w:r w:rsidRPr="00163E7C">
        <w:rPr>
          <w:sz w:val="22"/>
          <w:szCs w:val="22"/>
        </w:rPr>
        <w:t xml:space="preserve">Spanish Penitentiary Institution (2011) </w:t>
      </w:r>
      <w:r w:rsidRPr="00163E7C">
        <w:rPr>
          <w:i/>
          <w:sz w:val="22"/>
          <w:szCs w:val="22"/>
        </w:rPr>
        <w:t>op cit.</w:t>
      </w:r>
      <w:proofErr w:type="gramEnd"/>
      <w:r w:rsidRPr="00163E7C">
        <w:rPr>
          <w:i/>
          <w:sz w:val="22"/>
          <w:szCs w:val="22"/>
        </w:rPr>
        <w:t xml:space="preserve"> </w:t>
      </w:r>
    </w:p>
  </w:endnote>
  <w:endnote w:id="220">
    <w:p w14:paraId="5F51D6CE"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Bartels &amp; Gaffney (2011) </w:t>
      </w:r>
      <w:proofErr w:type="gramStart"/>
      <w:r w:rsidRPr="00163E7C">
        <w:rPr>
          <w:rFonts w:cs="Arial"/>
          <w:sz w:val="22"/>
          <w:szCs w:val="22"/>
        </w:rPr>
        <w:t>The</w:t>
      </w:r>
      <w:proofErr w:type="gramEnd"/>
      <w:r w:rsidRPr="00163E7C">
        <w:rPr>
          <w:rFonts w:cs="Arial"/>
          <w:sz w:val="22"/>
          <w:szCs w:val="22"/>
        </w:rPr>
        <w:t xml:space="preserve"> Spanish Prison System. </w:t>
      </w:r>
      <w:proofErr w:type="gramStart"/>
      <w:r w:rsidRPr="00163E7C">
        <w:rPr>
          <w:rFonts w:cs="Arial"/>
          <w:i/>
          <w:sz w:val="22"/>
          <w:szCs w:val="22"/>
        </w:rPr>
        <w:t>op</w:t>
      </w:r>
      <w:proofErr w:type="gramEnd"/>
      <w:r w:rsidRPr="00163E7C">
        <w:rPr>
          <w:rFonts w:cs="Arial"/>
          <w:i/>
          <w:sz w:val="22"/>
          <w:szCs w:val="22"/>
        </w:rPr>
        <w:t xml:space="preserve"> cit.</w:t>
      </w:r>
    </w:p>
  </w:endnote>
  <w:endnote w:id="221">
    <w:p w14:paraId="61AA8E20"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Barrett, Allenby, &amp; Taylor, (2010) Twenty Years Later.</w:t>
      </w:r>
      <w:proofErr w:type="gramEnd"/>
      <w:r w:rsidRPr="00163E7C">
        <w:rPr>
          <w:rFonts w:cs="Arial"/>
          <w:sz w:val="22"/>
          <w:szCs w:val="22"/>
        </w:rPr>
        <w:t xml:space="preserve"> </w:t>
      </w:r>
      <w:proofErr w:type="gramStart"/>
      <w:r w:rsidRPr="00163E7C">
        <w:rPr>
          <w:rFonts w:cs="Arial"/>
          <w:i/>
          <w:sz w:val="22"/>
          <w:szCs w:val="22"/>
        </w:rPr>
        <w:t>op</w:t>
      </w:r>
      <w:proofErr w:type="gramEnd"/>
      <w:r w:rsidRPr="00163E7C">
        <w:rPr>
          <w:rFonts w:cs="Arial"/>
          <w:i/>
          <w:sz w:val="22"/>
          <w:szCs w:val="22"/>
        </w:rPr>
        <w:t xml:space="preserve"> cit.</w:t>
      </w:r>
    </w:p>
  </w:endnote>
  <w:endnote w:id="222">
    <w:p w14:paraId="671B540A"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Bartels, L. &amp; Gaffney, A. (2011) </w:t>
      </w:r>
      <w:r w:rsidRPr="00163E7C">
        <w:rPr>
          <w:rFonts w:cs="Arial"/>
          <w:i/>
          <w:sz w:val="22"/>
          <w:szCs w:val="22"/>
        </w:rPr>
        <w:t xml:space="preserve">Op </w:t>
      </w:r>
      <w:proofErr w:type="gramStart"/>
      <w:r w:rsidRPr="00163E7C">
        <w:rPr>
          <w:rFonts w:cs="Arial"/>
          <w:i/>
          <w:sz w:val="22"/>
          <w:szCs w:val="22"/>
        </w:rPr>
        <w:t>cit.</w:t>
      </w:r>
      <w:r w:rsidRPr="00163E7C">
        <w:rPr>
          <w:rFonts w:cs="Arial"/>
          <w:sz w:val="22"/>
          <w:szCs w:val="22"/>
        </w:rPr>
        <w:t>.</w:t>
      </w:r>
      <w:proofErr w:type="gramEnd"/>
      <w:r w:rsidRPr="00163E7C">
        <w:rPr>
          <w:rFonts w:cs="Arial"/>
          <w:sz w:val="22"/>
          <w:szCs w:val="22"/>
        </w:rPr>
        <w:t xml:space="preserve"> citing </w:t>
      </w:r>
      <w:proofErr w:type="spellStart"/>
      <w:r w:rsidRPr="00163E7C">
        <w:rPr>
          <w:rFonts w:cs="Arial"/>
          <w:sz w:val="22"/>
          <w:szCs w:val="22"/>
        </w:rPr>
        <w:t>Loper</w:t>
      </w:r>
      <w:proofErr w:type="spellEnd"/>
      <w:r w:rsidRPr="00163E7C">
        <w:rPr>
          <w:rFonts w:cs="Arial"/>
          <w:sz w:val="22"/>
          <w:szCs w:val="22"/>
        </w:rPr>
        <w:t xml:space="preserve"> &amp; </w:t>
      </w:r>
      <w:proofErr w:type="spellStart"/>
      <w:r w:rsidRPr="00163E7C">
        <w:rPr>
          <w:rFonts w:cs="Arial"/>
          <w:sz w:val="22"/>
          <w:szCs w:val="22"/>
        </w:rPr>
        <w:t>Tuerk</w:t>
      </w:r>
      <w:proofErr w:type="spellEnd"/>
      <w:r w:rsidRPr="00163E7C">
        <w:rPr>
          <w:rFonts w:cs="Arial"/>
          <w:sz w:val="22"/>
          <w:szCs w:val="22"/>
        </w:rPr>
        <w:t xml:space="preserve"> (2006) p67</w:t>
      </w:r>
    </w:p>
  </w:endnote>
  <w:endnote w:id="223">
    <w:p w14:paraId="1E73EB7C"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 xml:space="preserve">Prison Review Team (2011) Review of the Northern Ireland Prison Service: </w:t>
      </w:r>
      <w:r w:rsidRPr="00163E7C">
        <w:rPr>
          <w:rFonts w:cs="Arial"/>
          <w:bCs/>
          <w:sz w:val="22"/>
          <w:szCs w:val="22"/>
        </w:rPr>
        <w:t>Conditions, management and oversight of all prisons.</w:t>
      </w:r>
      <w:proofErr w:type="gramEnd"/>
      <w:r w:rsidRPr="00163E7C">
        <w:rPr>
          <w:rFonts w:cs="Arial"/>
          <w:bCs/>
          <w:sz w:val="22"/>
          <w:szCs w:val="22"/>
        </w:rPr>
        <w:t xml:space="preserve"> URL: </w:t>
      </w:r>
      <w:hyperlink r:id="rId59" w:history="1">
        <w:r w:rsidRPr="00163E7C">
          <w:rPr>
            <w:rStyle w:val="Hyperlink"/>
            <w:rFonts w:cs="Arial"/>
            <w:bCs/>
            <w:sz w:val="22"/>
            <w:szCs w:val="22"/>
          </w:rPr>
          <w:t>http://www.dojni.gov.uk/index/ni-prison-service/nips-publications/reports-reviews-nips/owers-review-of-the-northern-ireland-prison-service.pdf</w:t>
        </w:r>
      </w:hyperlink>
    </w:p>
  </w:endnote>
  <w:endnote w:id="224">
    <w:p w14:paraId="601DC471"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 xml:space="preserve">Fair, H. (2009) </w:t>
      </w:r>
      <w:r w:rsidRPr="00163E7C">
        <w:rPr>
          <w:rFonts w:cs="Arial"/>
          <w:i/>
          <w:sz w:val="22"/>
          <w:szCs w:val="22"/>
        </w:rPr>
        <w:t>op cit.</w:t>
      </w:r>
      <w:proofErr w:type="gramEnd"/>
    </w:p>
  </w:endnote>
  <w:endnote w:id="225">
    <w:p w14:paraId="71061F6E"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spellStart"/>
      <w:r w:rsidRPr="00163E7C">
        <w:rPr>
          <w:rFonts w:cs="Arial"/>
          <w:sz w:val="22"/>
          <w:szCs w:val="22"/>
        </w:rPr>
        <w:t>Lawston</w:t>
      </w:r>
      <w:proofErr w:type="spellEnd"/>
      <w:r w:rsidRPr="00163E7C">
        <w:rPr>
          <w:rFonts w:cs="Arial"/>
          <w:sz w:val="22"/>
          <w:szCs w:val="22"/>
        </w:rPr>
        <w:t xml:space="preserve"> &amp; </w:t>
      </w:r>
      <w:proofErr w:type="spellStart"/>
      <w:r w:rsidRPr="00163E7C">
        <w:rPr>
          <w:rFonts w:cs="Arial"/>
          <w:sz w:val="22"/>
          <w:szCs w:val="22"/>
        </w:rPr>
        <w:t>Meiners</w:t>
      </w:r>
      <w:proofErr w:type="spellEnd"/>
      <w:r w:rsidRPr="00163E7C">
        <w:rPr>
          <w:rFonts w:cs="Arial"/>
          <w:sz w:val="22"/>
          <w:szCs w:val="22"/>
        </w:rPr>
        <w:t xml:space="preserve"> (2011) cited in </w:t>
      </w:r>
      <w:proofErr w:type="spellStart"/>
      <w:r w:rsidRPr="00163E7C">
        <w:rPr>
          <w:rFonts w:cs="Arial"/>
          <w:sz w:val="22"/>
          <w:szCs w:val="22"/>
        </w:rPr>
        <w:t>Lawston</w:t>
      </w:r>
      <w:proofErr w:type="spellEnd"/>
      <w:r w:rsidRPr="00163E7C">
        <w:rPr>
          <w:rFonts w:cs="Arial"/>
          <w:sz w:val="22"/>
          <w:szCs w:val="22"/>
        </w:rPr>
        <w:t xml:space="preserve">, J. (2013) </w:t>
      </w:r>
      <w:proofErr w:type="gramStart"/>
      <w:r w:rsidRPr="00163E7C">
        <w:rPr>
          <w:rFonts w:cs="Arial"/>
          <w:sz w:val="22"/>
          <w:szCs w:val="22"/>
        </w:rPr>
        <w:t>The</w:t>
      </w:r>
      <w:proofErr w:type="gramEnd"/>
      <w:r w:rsidRPr="00163E7C">
        <w:rPr>
          <w:rFonts w:cs="Arial"/>
          <w:sz w:val="22"/>
          <w:szCs w:val="22"/>
        </w:rPr>
        <w:t xml:space="preserve"> expansion of punishment in the United States, in </w:t>
      </w:r>
      <w:proofErr w:type="spellStart"/>
      <w:r w:rsidRPr="00163E7C">
        <w:rPr>
          <w:rFonts w:cs="Arial"/>
          <w:sz w:val="22"/>
          <w:szCs w:val="22"/>
        </w:rPr>
        <w:t>Malloch</w:t>
      </w:r>
      <w:proofErr w:type="spellEnd"/>
      <w:r w:rsidRPr="00163E7C">
        <w:rPr>
          <w:rFonts w:cs="Arial"/>
          <w:sz w:val="22"/>
          <w:szCs w:val="22"/>
        </w:rPr>
        <w:t>, M. &amp; McIvor, G. (2013) (</w:t>
      </w:r>
      <w:proofErr w:type="spellStart"/>
      <w:r w:rsidRPr="00163E7C">
        <w:rPr>
          <w:rFonts w:cs="Arial"/>
          <w:sz w:val="22"/>
          <w:szCs w:val="22"/>
        </w:rPr>
        <w:t>Eds</w:t>
      </w:r>
      <w:proofErr w:type="spellEnd"/>
      <w:r w:rsidRPr="00163E7C">
        <w:rPr>
          <w:rFonts w:cs="Arial"/>
          <w:sz w:val="22"/>
          <w:szCs w:val="22"/>
        </w:rPr>
        <w:t xml:space="preserve">) Women, Punishment and Social Justice: Human rights and penal practices. Oxfordshire, UK: </w:t>
      </w:r>
      <w:proofErr w:type="spellStart"/>
      <w:r w:rsidRPr="00163E7C">
        <w:rPr>
          <w:rFonts w:cs="Arial"/>
          <w:sz w:val="22"/>
          <w:szCs w:val="22"/>
        </w:rPr>
        <w:t>Routledge</w:t>
      </w:r>
      <w:proofErr w:type="spellEnd"/>
    </w:p>
  </w:endnote>
  <w:endnote w:id="226">
    <w:p w14:paraId="12F0ACE2"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spellStart"/>
      <w:r w:rsidRPr="00163E7C">
        <w:rPr>
          <w:rFonts w:cs="Arial"/>
          <w:sz w:val="22"/>
          <w:szCs w:val="22"/>
        </w:rPr>
        <w:t>Lawston</w:t>
      </w:r>
      <w:proofErr w:type="spellEnd"/>
      <w:r w:rsidRPr="00163E7C">
        <w:rPr>
          <w:rFonts w:cs="Arial"/>
          <w:sz w:val="22"/>
          <w:szCs w:val="22"/>
        </w:rPr>
        <w:t xml:space="preserve">, J. (2013) </w:t>
      </w:r>
      <w:proofErr w:type="gramStart"/>
      <w:r w:rsidRPr="00163E7C">
        <w:rPr>
          <w:rFonts w:cs="Arial"/>
          <w:sz w:val="22"/>
          <w:szCs w:val="22"/>
        </w:rPr>
        <w:t>The</w:t>
      </w:r>
      <w:proofErr w:type="gramEnd"/>
      <w:r w:rsidRPr="00163E7C">
        <w:rPr>
          <w:rFonts w:cs="Arial"/>
          <w:sz w:val="22"/>
          <w:szCs w:val="22"/>
        </w:rPr>
        <w:t xml:space="preserve"> expansion of punishment in the United States, </w:t>
      </w:r>
      <w:r w:rsidRPr="00163E7C">
        <w:rPr>
          <w:rFonts w:cs="Arial"/>
          <w:i/>
          <w:sz w:val="22"/>
          <w:szCs w:val="22"/>
        </w:rPr>
        <w:t>op cit.</w:t>
      </w:r>
    </w:p>
  </w:endnote>
  <w:endnote w:id="227">
    <w:p w14:paraId="36251F90"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spellStart"/>
      <w:proofErr w:type="gramStart"/>
      <w:r w:rsidRPr="00163E7C">
        <w:rPr>
          <w:rFonts w:cs="Arial"/>
          <w:sz w:val="22"/>
          <w:szCs w:val="22"/>
        </w:rPr>
        <w:t>Convery</w:t>
      </w:r>
      <w:proofErr w:type="spellEnd"/>
      <w:r w:rsidRPr="00163E7C">
        <w:rPr>
          <w:rFonts w:cs="Arial"/>
          <w:sz w:val="22"/>
          <w:szCs w:val="22"/>
        </w:rPr>
        <w:t>, U. (2009) Addressing Offending by Women: A Literature Review.</w:t>
      </w:r>
      <w:proofErr w:type="gramEnd"/>
      <w:r w:rsidRPr="00163E7C">
        <w:rPr>
          <w:rFonts w:cs="Arial"/>
          <w:sz w:val="22"/>
          <w:szCs w:val="22"/>
        </w:rPr>
        <w:t xml:space="preserve">  </w:t>
      </w:r>
      <w:proofErr w:type="gramStart"/>
      <w:r w:rsidRPr="00163E7C">
        <w:rPr>
          <w:rFonts w:cs="Arial"/>
          <w:i/>
          <w:sz w:val="22"/>
          <w:szCs w:val="22"/>
        </w:rPr>
        <w:t>op</w:t>
      </w:r>
      <w:proofErr w:type="gramEnd"/>
      <w:r w:rsidRPr="00163E7C">
        <w:rPr>
          <w:rFonts w:cs="Arial"/>
          <w:i/>
          <w:sz w:val="22"/>
          <w:szCs w:val="22"/>
        </w:rPr>
        <w:t xml:space="preserve"> cit.</w:t>
      </w:r>
    </w:p>
  </w:endnote>
  <w:endnote w:id="228">
    <w:p w14:paraId="49389966"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spellStart"/>
      <w:r w:rsidRPr="00163E7C">
        <w:rPr>
          <w:rFonts w:cs="Arial"/>
          <w:sz w:val="22"/>
          <w:szCs w:val="22"/>
        </w:rPr>
        <w:t>Lawston</w:t>
      </w:r>
      <w:proofErr w:type="spellEnd"/>
      <w:r w:rsidRPr="00163E7C">
        <w:rPr>
          <w:rFonts w:cs="Arial"/>
          <w:sz w:val="22"/>
          <w:szCs w:val="22"/>
        </w:rPr>
        <w:t xml:space="preserve">, J. (2013) The expansion of punishment in the United </w:t>
      </w:r>
      <w:proofErr w:type="spellStart"/>
      <w:r w:rsidRPr="00163E7C">
        <w:rPr>
          <w:rFonts w:cs="Arial"/>
          <w:sz w:val="22"/>
          <w:szCs w:val="22"/>
        </w:rPr>
        <w:t>States</w:t>
      </w:r>
      <w:proofErr w:type="gramStart"/>
      <w:r w:rsidRPr="00163E7C">
        <w:rPr>
          <w:rFonts w:cs="Arial"/>
          <w:sz w:val="22"/>
          <w:szCs w:val="22"/>
        </w:rPr>
        <w:t>,</w:t>
      </w:r>
      <w:r w:rsidRPr="00163E7C">
        <w:rPr>
          <w:rFonts w:cs="Arial"/>
          <w:i/>
          <w:sz w:val="22"/>
          <w:szCs w:val="22"/>
        </w:rPr>
        <w:t>Op</w:t>
      </w:r>
      <w:proofErr w:type="spellEnd"/>
      <w:proofErr w:type="gramEnd"/>
      <w:r w:rsidRPr="00163E7C">
        <w:rPr>
          <w:rFonts w:cs="Arial"/>
          <w:i/>
          <w:sz w:val="22"/>
          <w:szCs w:val="22"/>
        </w:rPr>
        <w:t xml:space="preserve"> cit.</w:t>
      </w:r>
      <w:r w:rsidRPr="00163E7C">
        <w:rPr>
          <w:rFonts w:cs="Arial"/>
          <w:sz w:val="22"/>
          <w:szCs w:val="22"/>
        </w:rPr>
        <w:t>. p115</w:t>
      </w:r>
    </w:p>
  </w:endnote>
  <w:endnote w:id="229">
    <w:p w14:paraId="1B61BFD7"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spellStart"/>
      <w:proofErr w:type="gramStart"/>
      <w:r w:rsidRPr="00163E7C">
        <w:rPr>
          <w:rFonts w:cs="Arial"/>
          <w:sz w:val="22"/>
          <w:szCs w:val="22"/>
        </w:rPr>
        <w:t>Convery</w:t>
      </w:r>
      <w:proofErr w:type="spellEnd"/>
      <w:r w:rsidRPr="00163E7C">
        <w:rPr>
          <w:rFonts w:cs="Arial"/>
          <w:sz w:val="22"/>
          <w:szCs w:val="22"/>
        </w:rPr>
        <w:t>, U. (2009) Addressing Offending by Women: A Literature Review.</w:t>
      </w:r>
      <w:proofErr w:type="gramEnd"/>
      <w:r w:rsidRPr="00163E7C">
        <w:rPr>
          <w:rFonts w:cs="Arial"/>
          <w:sz w:val="22"/>
          <w:szCs w:val="22"/>
        </w:rPr>
        <w:t xml:space="preserve">  </w:t>
      </w:r>
      <w:proofErr w:type="gramStart"/>
      <w:r w:rsidRPr="00163E7C">
        <w:rPr>
          <w:rFonts w:cs="Arial"/>
          <w:sz w:val="22"/>
          <w:szCs w:val="22"/>
        </w:rPr>
        <w:t xml:space="preserve">Citing Patel &amp; Stanley (2008: 17) </w:t>
      </w:r>
      <w:r w:rsidRPr="00163E7C">
        <w:rPr>
          <w:rFonts w:cs="Arial"/>
          <w:i/>
          <w:sz w:val="22"/>
          <w:szCs w:val="22"/>
        </w:rPr>
        <w:t>op cit.</w:t>
      </w:r>
      <w:proofErr w:type="gramEnd"/>
    </w:p>
  </w:endnote>
  <w:endnote w:id="230">
    <w:p w14:paraId="10095028"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 citing </w:t>
      </w:r>
      <w:proofErr w:type="spellStart"/>
      <w:r w:rsidRPr="00163E7C">
        <w:rPr>
          <w:rFonts w:cs="Arial"/>
          <w:sz w:val="22"/>
          <w:szCs w:val="22"/>
        </w:rPr>
        <w:t>Gelsthorpe</w:t>
      </w:r>
      <w:proofErr w:type="spellEnd"/>
      <w:r w:rsidRPr="00163E7C">
        <w:rPr>
          <w:rFonts w:cs="Arial"/>
          <w:sz w:val="22"/>
          <w:szCs w:val="22"/>
        </w:rPr>
        <w:t>, L. (2006</w:t>
      </w:r>
      <w:proofErr w:type="gramStart"/>
      <w:r w:rsidRPr="00163E7C">
        <w:rPr>
          <w:rFonts w:cs="Arial"/>
          <w:sz w:val="22"/>
          <w:szCs w:val="22"/>
        </w:rPr>
        <w:t xml:space="preserve">) </w:t>
      </w:r>
      <w:r w:rsidRPr="00163E7C">
        <w:rPr>
          <w:rFonts w:cs="Arial"/>
          <w:i/>
          <w:sz w:val="22"/>
          <w:szCs w:val="22"/>
        </w:rPr>
        <w:t>.</w:t>
      </w:r>
      <w:proofErr w:type="gramEnd"/>
    </w:p>
  </w:endnote>
  <w:endnote w:id="231">
    <w:p w14:paraId="5054D916"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Ibid. citing Patel &amp; Stanley (2008) </w:t>
      </w:r>
    </w:p>
  </w:endnote>
  <w:endnote w:id="232">
    <w:p w14:paraId="6218F090"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spellStart"/>
      <w:r w:rsidRPr="00163E7C">
        <w:rPr>
          <w:rFonts w:cs="Arial"/>
          <w:sz w:val="22"/>
          <w:szCs w:val="22"/>
        </w:rPr>
        <w:t>Lawston</w:t>
      </w:r>
      <w:proofErr w:type="spellEnd"/>
      <w:r w:rsidRPr="00163E7C">
        <w:rPr>
          <w:rFonts w:cs="Arial"/>
          <w:sz w:val="22"/>
          <w:szCs w:val="22"/>
        </w:rPr>
        <w:t xml:space="preserve"> &amp; </w:t>
      </w:r>
      <w:proofErr w:type="spellStart"/>
      <w:r w:rsidRPr="00163E7C">
        <w:rPr>
          <w:rFonts w:cs="Arial"/>
          <w:sz w:val="22"/>
          <w:szCs w:val="22"/>
        </w:rPr>
        <w:t>Meiners</w:t>
      </w:r>
      <w:proofErr w:type="spellEnd"/>
      <w:r w:rsidRPr="00163E7C">
        <w:rPr>
          <w:rFonts w:cs="Arial"/>
          <w:sz w:val="22"/>
          <w:szCs w:val="22"/>
        </w:rPr>
        <w:t xml:space="preserve"> (2011) cited in </w:t>
      </w:r>
      <w:proofErr w:type="spellStart"/>
      <w:r w:rsidRPr="00163E7C">
        <w:rPr>
          <w:rFonts w:cs="Arial"/>
          <w:sz w:val="22"/>
          <w:szCs w:val="22"/>
        </w:rPr>
        <w:t>Lawston</w:t>
      </w:r>
      <w:proofErr w:type="spellEnd"/>
      <w:r w:rsidRPr="00163E7C">
        <w:rPr>
          <w:rFonts w:cs="Arial"/>
          <w:sz w:val="22"/>
          <w:szCs w:val="22"/>
        </w:rPr>
        <w:t xml:space="preserve">, J. (2013) </w:t>
      </w:r>
      <w:proofErr w:type="gramStart"/>
      <w:r w:rsidRPr="00163E7C">
        <w:rPr>
          <w:rFonts w:cs="Arial"/>
          <w:sz w:val="22"/>
          <w:szCs w:val="22"/>
        </w:rPr>
        <w:t>The</w:t>
      </w:r>
      <w:proofErr w:type="gramEnd"/>
      <w:r w:rsidRPr="00163E7C">
        <w:rPr>
          <w:rFonts w:cs="Arial"/>
          <w:sz w:val="22"/>
          <w:szCs w:val="22"/>
        </w:rPr>
        <w:t xml:space="preserve"> expansion of punishment in the United States, </w:t>
      </w:r>
      <w:r w:rsidRPr="00163E7C">
        <w:rPr>
          <w:rFonts w:cs="Arial"/>
          <w:i/>
          <w:sz w:val="22"/>
          <w:szCs w:val="22"/>
        </w:rPr>
        <w:t>op cit.</w:t>
      </w:r>
    </w:p>
  </w:endnote>
  <w:endnote w:id="233">
    <w:p w14:paraId="71D1C0C4"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spellStart"/>
      <w:r w:rsidRPr="00163E7C">
        <w:rPr>
          <w:rFonts w:cs="Arial"/>
          <w:sz w:val="22"/>
          <w:szCs w:val="22"/>
        </w:rPr>
        <w:t>Hedderman</w:t>
      </w:r>
      <w:proofErr w:type="spellEnd"/>
      <w:r w:rsidRPr="00163E7C">
        <w:rPr>
          <w:rFonts w:cs="Arial"/>
          <w:sz w:val="22"/>
          <w:szCs w:val="22"/>
        </w:rPr>
        <w:t xml:space="preserve"> &amp; </w:t>
      </w:r>
      <w:proofErr w:type="spellStart"/>
      <w:r w:rsidRPr="00163E7C">
        <w:rPr>
          <w:rFonts w:cs="Arial"/>
          <w:sz w:val="22"/>
          <w:szCs w:val="22"/>
        </w:rPr>
        <w:t>Gunby</w:t>
      </w:r>
      <w:proofErr w:type="spellEnd"/>
      <w:r w:rsidRPr="00163E7C">
        <w:rPr>
          <w:rFonts w:cs="Arial"/>
          <w:sz w:val="22"/>
          <w:szCs w:val="22"/>
        </w:rPr>
        <w:t xml:space="preserve"> (2013) Diverting women from custody, </w:t>
      </w:r>
      <w:r w:rsidRPr="00163E7C">
        <w:rPr>
          <w:rFonts w:cs="Arial"/>
          <w:i/>
          <w:sz w:val="22"/>
          <w:szCs w:val="22"/>
        </w:rPr>
        <w:t>op cit.</w:t>
      </w:r>
      <w:r w:rsidRPr="00163E7C">
        <w:rPr>
          <w:rFonts w:cs="Arial"/>
          <w:sz w:val="22"/>
          <w:szCs w:val="22"/>
        </w:rPr>
        <w:t>, citing Ministry of Justice, (2011b)</w:t>
      </w:r>
    </w:p>
  </w:endnote>
  <w:endnote w:id="234">
    <w:p w14:paraId="16DD1418"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spellStart"/>
      <w:r w:rsidRPr="00163E7C">
        <w:rPr>
          <w:rFonts w:cs="Arial"/>
          <w:sz w:val="22"/>
          <w:szCs w:val="22"/>
        </w:rPr>
        <w:t>Malloch</w:t>
      </w:r>
      <w:proofErr w:type="spellEnd"/>
      <w:r w:rsidRPr="00163E7C">
        <w:rPr>
          <w:rFonts w:cs="Arial"/>
          <w:sz w:val="22"/>
          <w:szCs w:val="22"/>
        </w:rPr>
        <w:t xml:space="preserve"> et al. (2013) ‘</w:t>
      </w:r>
      <w:proofErr w:type="gramStart"/>
      <w:r w:rsidRPr="00163E7C">
        <w:rPr>
          <w:rFonts w:cs="Arial"/>
          <w:sz w:val="22"/>
          <w:szCs w:val="22"/>
        </w:rPr>
        <w:t>The</w:t>
      </w:r>
      <w:proofErr w:type="gramEnd"/>
      <w:r w:rsidRPr="00163E7C">
        <w:rPr>
          <w:rFonts w:cs="Arial"/>
          <w:sz w:val="22"/>
          <w:szCs w:val="22"/>
        </w:rPr>
        <w:t xml:space="preserve"> Elements of Effective Through-Care Part 1: International Review’. </w:t>
      </w:r>
      <w:proofErr w:type="gramStart"/>
      <w:r w:rsidRPr="00163E7C">
        <w:rPr>
          <w:rFonts w:cs="Arial"/>
          <w:i/>
          <w:sz w:val="22"/>
          <w:szCs w:val="22"/>
        </w:rPr>
        <w:t>op</w:t>
      </w:r>
      <w:proofErr w:type="gramEnd"/>
      <w:r w:rsidRPr="00163E7C">
        <w:rPr>
          <w:rFonts w:cs="Arial"/>
          <w:i/>
          <w:sz w:val="22"/>
          <w:szCs w:val="22"/>
        </w:rPr>
        <w:t xml:space="preserve"> cit.</w:t>
      </w:r>
    </w:p>
  </w:endnote>
  <w:endnote w:id="235">
    <w:p w14:paraId="3A589DFB"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McIvor et al. (2009) Women, resettlement and desistance.</w:t>
      </w:r>
      <w:proofErr w:type="gramEnd"/>
      <w:r w:rsidRPr="00163E7C">
        <w:rPr>
          <w:rFonts w:cs="Arial"/>
          <w:sz w:val="22"/>
          <w:szCs w:val="22"/>
        </w:rPr>
        <w:t xml:space="preserve"> </w:t>
      </w:r>
      <w:r w:rsidRPr="00163E7C">
        <w:rPr>
          <w:rFonts w:cs="Arial"/>
          <w:i/>
          <w:sz w:val="22"/>
          <w:szCs w:val="22"/>
        </w:rPr>
        <w:t>op cit.</w:t>
      </w:r>
      <w:r w:rsidRPr="00163E7C">
        <w:rPr>
          <w:rFonts w:cs="Arial"/>
          <w:sz w:val="22"/>
          <w:szCs w:val="22"/>
        </w:rPr>
        <w:t xml:space="preserve"> citing </w:t>
      </w:r>
      <w:proofErr w:type="spellStart"/>
      <w:r w:rsidRPr="00163E7C">
        <w:rPr>
          <w:rFonts w:cs="Arial"/>
          <w:sz w:val="22"/>
          <w:szCs w:val="22"/>
        </w:rPr>
        <w:t>Gelsthorpe</w:t>
      </w:r>
      <w:proofErr w:type="spellEnd"/>
      <w:r w:rsidRPr="00163E7C">
        <w:rPr>
          <w:rFonts w:cs="Arial"/>
          <w:sz w:val="22"/>
          <w:szCs w:val="22"/>
        </w:rPr>
        <w:t xml:space="preserve"> &amp; Sharpe (2007) </w:t>
      </w:r>
    </w:p>
  </w:endnote>
  <w:endnote w:id="236">
    <w:p w14:paraId="74B18809"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E.g. PRT (2014) Transforming Lives: reducing women’s imprisonment.  </w:t>
      </w:r>
      <w:r w:rsidRPr="00163E7C">
        <w:rPr>
          <w:rFonts w:cs="Arial"/>
          <w:i/>
          <w:sz w:val="22"/>
          <w:szCs w:val="22"/>
        </w:rPr>
        <w:t>op cit.</w:t>
      </w:r>
      <w:r w:rsidRPr="00163E7C">
        <w:rPr>
          <w:rFonts w:cs="Arial"/>
          <w:sz w:val="22"/>
          <w:szCs w:val="22"/>
        </w:rPr>
        <w:t>(p66)</w:t>
      </w:r>
    </w:p>
  </w:endnote>
  <w:endnote w:id="237">
    <w:p w14:paraId="59BCCA03" w14:textId="77777777" w:rsidR="00CD076F" w:rsidRPr="00163E7C" w:rsidRDefault="00CD076F" w:rsidP="002F5B00">
      <w:pPr>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eastAsia="Times New Roman" w:cs="Arial"/>
          <w:sz w:val="22"/>
          <w:szCs w:val="22"/>
        </w:rPr>
        <w:t>Scottish Government (2012) Commission on Women Offenders.</w:t>
      </w:r>
      <w:proofErr w:type="gramEnd"/>
      <w:r w:rsidRPr="00163E7C">
        <w:rPr>
          <w:rFonts w:eastAsia="Times New Roman" w:cs="Arial"/>
          <w:sz w:val="22"/>
          <w:szCs w:val="22"/>
        </w:rPr>
        <w:t xml:space="preserve"> </w:t>
      </w:r>
      <w:proofErr w:type="gramStart"/>
      <w:r w:rsidRPr="00163E7C">
        <w:rPr>
          <w:rFonts w:eastAsia="Times New Roman" w:cs="Arial"/>
          <w:i/>
          <w:sz w:val="22"/>
          <w:szCs w:val="22"/>
        </w:rPr>
        <w:t>op</w:t>
      </w:r>
      <w:proofErr w:type="gramEnd"/>
      <w:r w:rsidRPr="00163E7C">
        <w:rPr>
          <w:rFonts w:eastAsia="Times New Roman" w:cs="Arial"/>
          <w:i/>
          <w:sz w:val="22"/>
          <w:szCs w:val="22"/>
        </w:rPr>
        <w:t xml:space="preserve"> cit</w:t>
      </w:r>
      <w:r w:rsidRPr="00163E7C">
        <w:rPr>
          <w:rFonts w:eastAsia="Times New Roman" w:cs="Arial"/>
          <w:sz w:val="22"/>
          <w:szCs w:val="22"/>
        </w:rPr>
        <w:t xml:space="preserve">.- </w:t>
      </w:r>
      <w:r w:rsidRPr="00163E7C">
        <w:rPr>
          <w:rFonts w:cs="Arial"/>
          <w:sz w:val="22"/>
          <w:szCs w:val="22"/>
        </w:rPr>
        <w:t>based on an analysis of prisons data carried out by the Scottish Government Justice Analytical Services.</w:t>
      </w:r>
    </w:p>
  </w:endnote>
  <w:endnote w:id="238">
    <w:p w14:paraId="3A9EC1F6"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E.g. the Prison Reform Trust (URL - </w:t>
      </w:r>
      <w:hyperlink r:id="rId60" w:history="1">
        <w:r w:rsidRPr="00163E7C">
          <w:rPr>
            <w:rStyle w:val="Hyperlink"/>
            <w:rFonts w:cs="Arial"/>
            <w:sz w:val="22"/>
            <w:szCs w:val="22"/>
          </w:rPr>
          <w:t>http://www.prisonreformtrust.org.uk/ProjectsResearch/Women</w:t>
        </w:r>
      </w:hyperlink>
      <w:r w:rsidRPr="00163E7C">
        <w:rPr>
          <w:rFonts w:cs="Arial"/>
          <w:sz w:val="22"/>
          <w:szCs w:val="22"/>
        </w:rPr>
        <w:t xml:space="preserve">), </w:t>
      </w:r>
      <w:proofErr w:type="spellStart"/>
      <w:r w:rsidRPr="00163E7C">
        <w:rPr>
          <w:rFonts w:cs="Arial"/>
          <w:sz w:val="22"/>
          <w:szCs w:val="22"/>
        </w:rPr>
        <w:t>Soroptimist</w:t>
      </w:r>
      <w:proofErr w:type="spellEnd"/>
      <w:r w:rsidRPr="00163E7C">
        <w:rPr>
          <w:rFonts w:cs="Arial"/>
          <w:sz w:val="22"/>
          <w:szCs w:val="22"/>
        </w:rPr>
        <w:t xml:space="preserve"> International (e.g. see </w:t>
      </w:r>
      <w:hyperlink r:id="rId61" w:history="1">
        <w:r w:rsidRPr="00163E7C">
          <w:rPr>
            <w:rStyle w:val="Hyperlink"/>
            <w:rFonts w:cs="Arial"/>
            <w:sz w:val="22"/>
            <w:szCs w:val="22"/>
          </w:rPr>
          <w:t>http://www.prisonreformtrust.org.uk/Portals/0/Documents/Soroptimist%20Action%20Pack_onlineV5.pdf</w:t>
        </w:r>
      </w:hyperlink>
      <w:r w:rsidRPr="00163E7C">
        <w:rPr>
          <w:rFonts w:cs="Arial"/>
          <w:sz w:val="22"/>
          <w:szCs w:val="22"/>
        </w:rPr>
        <w:t xml:space="preserve">), the Scottish Consortium for Crime and Criminal Justice (see </w:t>
      </w:r>
      <w:hyperlink r:id="rId62" w:history="1">
        <w:r w:rsidRPr="00163E7C">
          <w:rPr>
            <w:rStyle w:val="Hyperlink"/>
            <w:rFonts w:cs="Arial"/>
            <w:sz w:val="22"/>
            <w:szCs w:val="22"/>
          </w:rPr>
          <w:t>http://www.scccj.org.uk/index.php/2015/06/turn-off-the-tap-a-bold-strategy-for-women-and-justice-in-scotland/</w:t>
        </w:r>
      </w:hyperlink>
      <w:r w:rsidRPr="00163E7C">
        <w:rPr>
          <w:rFonts w:cs="Arial"/>
          <w:sz w:val="22"/>
          <w:szCs w:val="22"/>
        </w:rPr>
        <w:t xml:space="preserve">) </w:t>
      </w:r>
    </w:p>
  </w:endnote>
  <w:endnote w:id="239">
    <w:p w14:paraId="7783D148" w14:textId="77777777" w:rsidR="00CD076F" w:rsidRPr="00163E7C" w:rsidRDefault="00CD076F" w:rsidP="00072B27">
      <w:pPr>
        <w:pStyle w:val="EndnoteText"/>
        <w:jc w:val="left"/>
        <w:rPr>
          <w:rFonts w:cs="Arial"/>
          <w:sz w:val="22"/>
          <w:szCs w:val="22"/>
        </w:rPr>
      </w:pPr>
      <w:r w:rsidRPr="00163E7C">
        <w:rPr>
          <w:rStyle w:val="EndnoteReference"/>
          <w:rFonts w:cs="Arial"/>
          <w:sz w:val="22"/>
          <w:szCs w:val="22"/>
        </w:rPr>
        <w:endnoteRef/>
      </w:r>
      <w:r w:rsidRPr="00163E7C">
        <w:rPr>
          <w:rFonts w:cs="Arial"/>
          <w:sz w:val="22"/>
          <w:szCs w:val="22"/>
        </w:rPr>
        <w:t xml:space="preserve"> </w:t>
      </w:r>
      <w:proofErr w:type="gramStart"/>
      <w:r w:rsidRPr="00163E7C">
        <w:rPr>
          <w:rFonts w:cs="Arial"/>
          <w:sz w:val="22"/>
          <w:szCs w:val="22"/>
        </w:rPr>
        <w:t>Bartels &amp; Gaffney (2011) o</w:t>
      </w:r>
      <w:r w:rsidRPr="00163E7C">
        <w:rPr>
          <w:rFonts w:cs="Arial"/>
          <w:i/>
          <w:sz w:val="22"/>
          <w:szCs w:val="22"/>
        </w:rPr>
        <w:t>p cit.</w:t>
      </w:r>
      <w:proofErr w:type="gramEnd"/>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 w:name="Unit">
    <w:altName w:val="Unit"/>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61002A87" w:usb1="80000000" w:usb2="00000008" w:usb3="00000000" w:csb0="000101FF" w:csb1="00000000"/>
  </w:font>
  <w:font w:name="Arial,Bold">
    <w:altName w:val="Cambria"/>
    <w:panose1 w:val="00000000000000000000"/>
    <w:charset w:val="00"/>
    <w:family w:val="swiss"/>
    <w:notTrueType/>
    <w:pitch w:val="default"/>
    <w:sig w:usb0="00000003" w:usb1="00000000" w:usb2="00000000" w:usb3="00000000" w:csb0="00000001" w:csb1="00000000"/>
  </w:font>
  <w:font w:name="Helvetica">
    <w:panose1 w:val="020B0604020202020204"/>
    <w:charset w:val="00"/>
    <w:family w:val="swiss"/>
    <w:pitch w:val="variable"/>
    <w:sig w:usb0="20002A87"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3408042"/>
      <w:docPartObj>
        <w:docPartGallery w:val="Page Numbers (Bottom of Page)"/>
        <w:docPartUnique/>
      </w:docPartObj>
    </w:sdtPr>
    <w:sdtEndPr>
      <w:rPr>
        <w:noProof/>
      </w:rPr>
    </w:sdtEndPr>
    <w:sdtContent>
      <w:p w14:paraId="3D9F0DD2" w14:textId="77777777" w:rsidR="00CD076F" w:rsidRDefault="00CD076F" w:rsidP="00234732">
        <w:pPr>
          <w:pStyle w:val="Footer"/>
          <w:jc w:val="right"/>
        </w:pPr>
        <w:r>
          <w:fldChar w:fldCharType="begin"/>
        </w:r>
        <w:r>
          <w:instrText xml:space="preserve"> PAGE   \* MERGEFORMAT </w:instrText>
        </w:r>
        <w:r>
          <w:fldChar w:fldCharType="separate"/>
        </w:r>
        <w:r w:rsidR="00246821">
          <w:rPr>
            <w:noProof/>
          </w:rPr>
          <w:t>1</w:t>
        </w:r>
        <w:r>
          <w:rPr>
            <w:noProof/>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4055710"/>
      <w:docPartObj>
        <w:docPartGallery w:val="Page Numbers (Bottom of Page)"/>
        <w:docPartUnique/>
      </w:docPartObj>
    </w:sdtPr>
    <w:sdtEndPr>
      <w:rPr>
        <w:noProof/>
      </w:rPr>
    </w:sdtEndPr>
    <w:sdtContent>
      <w:p w14:paraId="0F3F2942" w14:textId="77777777" w:rsidR="00CD076F" w:rsidRDefault="00CD076F" w:rsidP="00B051EC">
        <w:pPr>
          <w:pStyle w:val="Footer"/>
        </w:pPr>
        <w:r>
          <w:fldChar w:fldCharType="begin"/>
        </w:r>
        <w:r>
          <w:instrText xml:space="preserve"> PAGE   \* MERGEFORMAT </w:instrText>
        </w:r>
        <w:r>
          <w:fldChar w:fldCharType="separate"/>
        </w:r>
        <w:r w:rsidR="00246821">
          <w:rPr>
            <w:noProof/>
          </w:rPr>
          <w:t>24</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C60DC7B" w14:textId="77777777" w:rsidR="00385520" w:rsidRPr="006D2D20" w:rsidRDefault="00385520">
      <w:r>
        <w:separator/>
      </w:r>
    </w:p>
  </w:footnote>
  <w:footnote w:type="continuationSeparator" w:id="0">
    <w:p w14:paraId="16CC7FB1" w14:textId="77777777" w:rsidR="00385520" w:rsidRPr="00B31C7F" w:rsidRDefault="00385520" w:rsidP="00B31C7F">
      <w:r>
        <w:continuationSeparator/>
      </w:r>
    </w:p>
    <w:p w14:paraId="3E4B7820" w14:textId="77777777" w:rsidR="00385520" w:rsidRDefault="00385520"/>
    <w:p w14:paraId="704C40C2" w14:textId="77777777" w:rsidR="00385520" w:rsidRDefault="00385520"/>
  </w:footnote>
  <w:footnote w:id="1">
    <w:p w14:paraId="6EEEC3D1" w14:textId="77777777" w:rsidR="00CD076F" w:rsidRDefault="00CD076F" w:rsidP="00587B82">
      <w:pPr>
        <w:pStyle w:val="FootnoteText"/>
        <w:tabs>
          <w:tab w:val="left" w:pos="3975"/>
        </w:tabs>
      </w:pPr>
      <w:r>
        <w:rPr>
          <w:rStyle w:val="FootnoteReference"/>
        </w:rPr>
        <w:footnoteRef/>
      </w:r>
      <w:r>
        <w:t xml:space="preserve"> Trend data – published by the ICPS – varies by country with data being available for most countries from 2000 to 2011; however, for some it is only available up to 2009.</w:t>
      </w:r>
    </w:p>
  </w:footnote>
  <w:footnote w:id="2">
    <w:p w14:paraId="58DB2A54" w14:textId="77777777" w:rsidR="00CD076F" w:rsidRDefault="00CD076F" w:rsidP="0008408A">
      <w:pPr>
        <w:pStyle w:val="FootnoteText"/>
      </w:pPr>
      <w:r>
        <w:rPr>
          <w:rStyle w:val="FootnoteReference"/>
        </w:rPr>
        <w:footnoteRef/>
      </w:r>
      <w:r>
        <w:t xml:space="preserve"> However, the upward trend appears to be reversing with a drop in the female rate of imprisonment in Scotland from 8.5 in 2010 to 7.1 in 2015.</w:t>
      </w:r>
    </w:p>
  </w:footnote>
  <w:footnote w:id="3">
    <w:p w14:paraId="6AF3B50D" w14:textId="77777777" w:rsidR="00CD076F" w:rsidRPr="000E57F5" w:rsidRDefault="00CD076F" w:rsidP="000E57F5">
      <w:pPr>
        <w:rPr>
          <w:rFonts w:cs="Arial"/>
          <w:szCs w:val="22"/>
          <w:lang w:val="en"/>
        </w:rPr>
      </w:pPr>
      <w:r w:rsidRPr="000E57F5">
        <w:rPr>
          <w:rStyle w:val="FootnoteReference"/>
          <w:sz w:val="22"/>
          <w:szCs w:val="22"/>
        </w:rPr>
        <w:footnoteRef/>
      </w:r>
      <w:r w:rsidRPr="000E57F5">
        <w:rPr>
          <w:sz w:val="22"/>
          <w:szCs w:val="22"/>
        </w:rPr>
        <w:t xml:space="preserve"> The World Prison Brief </w:t>
      </w:r>
      <w:r>
        <w:rPr>
          <w:sz w:val="22"/>
          <w:szCs w:val="22"/>
        </w:rPr>
        <w:t xml:space="preserve">data in Table 1 is </w:t>
      </w:r>
      <w:r w:rsidRPr="000E57F5">
        <w:rPr>
          <w:rFonts w:cs="Arial"/>
          <w:sz w:val="22"/>
          <w:szCs w:val="22"/>
          <w:lang w:val="en"/>
        </w:rPr>
        <w:t>based on the number of female prisoners in the prison population on a single date in the year (or the annual average) and the percentage of the total prison population that female prisoners constituted on that day.</w:t>
      </w:r>
      <w:r>
        <w:rPr>
          <w:rFonts w:cs="Arial"/>
          <w:sz w:val="22"/>
          <w:szCs w:val="22"/>
          <w:lang w:val="en"/>
        </w:rPr>
        <w:t xml:space="preserve">  </w:t>
      </w:r>
      <w:r w:rsidRPr="000E57F5">
        <w:rPr>
          <w:rFonts w:cs="Arial"/>
          <w:sz w:val="22"/>
          <w:szCs w:val="22"/>
          <w:bdr w:val="none" w:sz="0" w:space="0" w:color="auto" w:frame="1"/>
          <w:lang w:val="en"/>
        </w:rPr>
        <w:t>The number of female prisoners fluctuates and so the above figures give an indication of the trend but the picture is inevitably incomplete. .</w:t>
      </w:r>
    </w:p>
  </w:footnote>
  <w:footnote w:id="4">
    <w:p w14:paraId="22759A14" w14:textId="77777777" w:rsidR="00CD076F" w:rsidRPr="00A70EA4" w:rsidRDefault="00CD076F">
      <w:pPr>
        <w:pStyle w:val="FootnoteText"/>
        <w:rPr>
          <w:lang w:val="en-GB"/>
        </w:rPr>
      </w:pPr>
      <w:r>
        <w:rPr>
          <w:rStyle w:val="FootnoteReference"/>
        </w:rPr>
        <w:footnoteRef/>
      </w:r>
      <w:r>
        <w:t xml:space="preserve"> </w:t>
      </w:r>
      <w:r>
        <w:rPr>
          <w:lang w:val="en-GB"/>
        </w:rPr>
        <w:t>Latest figures (correct at 3 Jul 2015) reveal an (average daily) female prison population of 404 - 318 sentenced women, 85 women on remand (untried or awaiting sentence) and 1 women awaiting deportation (these figures include female young offenders).</w:t>
      </w:r>
    </w:p>
  </w:footnote>
  <w:footnote w:id="5">
    <w:p w14:paraId="14A4A98A" w14:textId="77777777" w:rsidR="00CD076F" w:rsidRPr="00A00C6B" w:rsidRDefault="00CD076F" w:rsidP="008A37EC">
      <w:pPr>
        <w:pStyle w:val="FootnoteText"/>
        <w:rPr>
          <w:rFonts w:cs="Arial"/>
        </w:rPr>
      </w:pPr>
      <w:r>
        <w:rPr>
          <w:rStyle w:val="FootnoteReference"/>
        </w:rPr>
        <w:footnoteRef/>
      </w:r>
      <w:r>
        <w:t xml:space="preserve"> In 2011-12 there were 3,100 female receptions to prisons in Scotland of which 1,979 were for remand prisoners and 1,121 for sentenced prisons. </w:t>
      </w:r>
    </w:p>
  </w:footnote>
  <w:footnote w:id="6">
    <w:p w14:paraId="0C08D66C" w14:textId="77777777" w:rsidR="00CD076F" w:rsidRPr="009049E1" w:rsidRDefault="00CD076F">
      <w:pPr>
        <w:pStyle w:val="FootnoteText"/>
        <w:rPr>
          <w:lang w:val="en-GB"/>
        </w:rPr>
      </w:pPr>
      <w:r>
        <w:rPr>
          <w:rStyle w:val="FootnoteReference"/>
        </w:rPr>
        <w:footnoteRef/>
      </w:r>
      <w:r>
        <w:t xml:space="preserve"> </w:t>
      </w:r>
      <w:r>
        <w:rPr>
          <w:lang w:val="en-GB"/>
        </w:rPr>
        <w:t xml:space="preserve">In 2012-13 the female reconviction rate was 0.43 compared to 0.53 for men. </w:t>
      </w:r>
    </w:p>
  </w:footnote>
  <w:footnote w:id="7">
    <w:p w14:paraId="4A16A50E" w14:textId="77777777" w:rsidR="00CD076F" w:rsidRPr="008E7A28" w:rsidRDefault="00CD076F">
      <w:pPr>
        <w:pStyle w:val="FootnoteText"/>
        <w:rPr>
          <w:lang w:val="en-GB"/>
        </w:rPr>
      </w:pPr>
      <w:r>
        <w:rPr>
          <w:rStyle w:val="FootnoteReference"/>
        </w:rPr>
        <w:footnoteRef/>
      </w:r>
      <w:r>
        <w:t xml:space="preserve"> </w:t>
      </w:r>
      <w:r>
        <w:rPr>
          <w:lang w:val="en-GB"/>
        </w:rPr>
        <w:t xml:space="preserve">Figures correct at July 2015 and include young female offenders.  </w:t>
      </w:r>
    </w:p>
  </w:footnote>
  <w:footnote w:id="8">
    <w:p w14:paraId="61C6F049" w14:textId="77777777" w:rsidR="00CD076F" w:rsidRPr="00EB29FB" w:rsidRDefault="00CD076F">
      <w:pPr>
        <w:pStyle w:val="FootnoteText"/>
        <w:rPr>
          <w:lang w:val="en-GB"/>
        </w:rPr>
      </w:pPr>
      <w:r>
        <w:rPr>
          <w:rStyle w:val="FootnoteReference"/>
        </w:rPr>
        <w:footnoteRef/>
      </w:r>
      <w:r>
        <w:t xml:space="preserve"> </w:t>
      </w:r>
      <w:proofErr w:type="spellStart"/>
      <w:r>
        <w:rPr>
          <w:lang w:val="en-GB"/>
        </w:rPr>
        <w:t>Criminogenic</w:t>
      </w:r>
      <w:proofErr w:type="spellEnd"/>
      <w:r>
        <w:rPr>
          <w:lang w:val="en-GB"/>
        </w:rPr>
        <w:t xml:space="preserve"> needs are risk factors associated with reoffending including pro-criminal attitudes, poor family relationships, substance abuse, financial difficulties, unemployment, poor educational attainment, and poor cognitive skills.</w:t>
      </w:r>
    </w:p>
  </w:footnote>
  <w:footnote w:id="9">
    <w:p w14:paraId="27FD176F" w14:textId="77777777" w:rsidR="00CD076F" w:rsidRPr="002761A2" w:rsidRDefault="00CD076F" w:rsidP="008A37EC">
      <w:pPr>
        <w:pStyle w:val="FootnoteText"/>
        <w:rPr>
          <w:rFonts w:cs="Arial"/>
          <w:szCs w:val="22"/>
        </w:rPr>
      </w:pPr>
      <w:r w:rsidRPr="002761A2">
        <w:rPr>
          <w:rStyle w:val="FootnoteReference"/>
          <w:rFonts w:cs="Arial"/>
          <w:sz w:val="22"/>
          <w:szCs w:val="22"/>
        </w:rPr>
        <w:footnoteRef/>
      </w:r>
      <w:r w:rsidRPr="002761A2">
        <w:rPr>
          <w:rFonts w:cs="Arial"/>
          <w:szCs w:val="22"/>
        </w:rPr>
        <w:t xml:space="preserve"> A number of countries have set targets for female prison staff.  For example, in Queensland, Australia, the target is set at 70%; a Northern Ireland report recommended the baseline be set at 80% (see Bartels &amp; Gaffney, 2011 p6)</w:t>
      </w:r>
      <w:r>
        <w:rPr>
          <w:rFonts w:cs="Arial"/>
          <w:szCs w:val="22"/>
        </w:rPr>
        <w:t>.</w:t>
      </w:r>
    </w:p>
  </w:footnote>
  <w:footnote w:id="10">
    <w:p w14:paraId="3378BAEB" w14:textId="77777777" w:rsidR="00CD076F" w:rsidRPr="00EB29FB" w:rsidRDefault="00CD076F" w:rsidP="008A37EC">
      <w:pPr>
        <w:rPr>
          <w:rFonts w:cs="Arial"/>
          <w:sz w:val="20"/>
        </w:rPr>
      </w:pPr>
      <w:r w:rsidRPr="00EB29FB">
        <w:rPr>
          <w:rFonts w:cs="Arial"/>
          <w:sz w:val="22"/>
          <w:szCs w:val="22"/>
        </w:rPr>
        <w:footnoteRef/>
      </w:r>
      <w:r w:rsidRPr="00EB29FB">
        <w:rPr>
          <w:rFonts w:cs="Arial"/>
          <w:sz w:val="22"/>
          <w:szCs w:val="22"/>
        </w:rPr>
        <w:t xml:space="preserve"> This is defined in Norway as - punishment is the restriction of liberty; no other rights have been removed by the sentencing court. Therefore the sentenced offender has all the same rights as all other who live in Norway.  No-one shall serve their sentence under stricter circumstances than necessary for the security in the community. Therefore offenders shall be placed in the lowest possible security regime.  During the serving of a sentence, life inside will resemble life outside as much as possible. See: </w:t>
      </w:r>
      <w:hyperlink r:id="rId1" w:history="1">
        <w:r w:rsidRPr="00EB29FB">
          <w:rPr>
            <w:rStyle w:val="Hyperlink"/>
            <w:rFonts w:cs="Arial"/>
            <w:sz w:val="22"/>
            <w:szCs w:val="22"/>
          </w:rPr>
          <w:t>http://www.kriminalomsorgen.no/index.php?cat=265199</w:t>
        </w:r>
      </w:hyperlink>
      <w:r w:rsidRPr="002761A2">
        <w:rPr>
          <w:rFonts w:cs="Arial"/>
          <w:sz w:val="20"/>
        </w:rPr>
        <w:t xml:space="preserve"> </w:t>
      </w:r>
    </w:p>
  </w:footnote>
  <w:footnote w:id="11">
    <w:p w14:paraId="39A788B0" w14:textId="77777777" w:rsidR="00CD076F" w:rsidRDefault="00CD076F" w:rsidP="008A37EC">
      <w:pPr>
        <w:pStyle w:val="FootnoteText"/>
      </w:pPr>
      <w:r>
        <w:rPr>
          <w:rStyle w:val="FootnoteReference"/>
        </w:rPr>
        <w:footnoteRef/>
      </w:r>
      <w:r>
        <w:t xml:space="preserve"> e.g. </w:t>
      </w:r>
      <w:proofErr w:type="spellStart"/>
      <w:r>
        <w:t>Bandyup</w:t>
      </w:r>
      <w:proofErr w:type="spellEnd"/>
      <w:r>
        <w:t xml:space="preserve"> Prison and Brisbane Women’s Correctional Centre</w:t>
      </w:r>
    </w:p>
  </w:footnote>
  <w:footnote w:id="12">
    <w:p w14:paraId="6B338E11" w14:textId="77777777" w:rsidR="00CD076F" w:rsidRPr="00E46E1B" w:rsidRDefault="00CD076F" w:rsidP="00B640A5">
      <w:pPr>
        <w:pStyle w:val="FootnoteText"/>
        <w:rPr>
          <w:lang w:val="en-GB"/>
        </w:rPr>
      </w:pPr>
      <w:r>
        <w:rPr>
          <w:rStyle w:val="FootnoteReference"/>
        </w:rPr>
        <w:footnoteRef/>
      </w:r>
      <w:r>
        <w:t xml:space="preserve"> </w:t>
      </w:r>
      <w:proofErr w:type="gramStart"/>
      <w:r>
        <w:rPr>
          <w:lang w:val="en-GB"/>
        </w:rPr>
        <w:t xml:space="preserve">HMP </w:t>
      </w:r>
      <w:proofErr w:type="spellStart"/>
      <w:r>
        <w:rPr>
          <w:lang w:val="en-GB"/>
        </w:rPr>
        <w:t>Askham</w:t>
      </w:r>
      <w:proofErr w:type="spellEnd"/>
      <w:r>
        <w:rPr>
          <w:lang w:val="en-GB"/>
        </w:rPr>
        <w:t xml:space="preserve"> Grange &amp; HMP East Sutton Park, each holding approximately 100 women.</w:t>
      </w:r>
      <w:proofErr w:type="gramEnd"/>
    </w:p>
  </w:footnote>
  <w:footnote w:id="13">
    <w:p w14:paraId="33DE22FB" w14:textId="77777777" w:rsidR="00CD076F" w:rsidRPr="00EB29FB" w:rsidRDefault="00CD076F">
      <w:pPr>
        <w:pStyle w:val="FootnoteText"/>
        <w:rPr>
          <w:lang w:val="en-GB"/>
        </w:rPr>
      </w:pPr>
      <w:r>
        <w:rPr>
          <w:rStyle w:val="FootnoteReference"/>
        </w:rPr>
        <w:footnoteRef/>
      </w:r>
      <w:r>
        <w:t xml:space="preserve"> </w:t>
      </w:r>
      <w:r>
        <w:rPr>
          <w:lang w:val="en-GB"/>
        </w:rPr>
        <w:t xml:space="preserve">See </w:t>
      </w:r>
      <w:hyperlink r:id="rId2" w:history="1">
        <w:r w:rsidRPr="00331A7C">
          <w:rPr>
            <w:rStyle w:val="Hyperlink"/>
            <w:lang w:val="en-GB"/>
          </w:rPr>
          <w:t>http://www.theguardian.com/society/2014/may/04/planned-closure-womens-prisons-stopped-legal-action-askham-grange-east-sutton-park</w:t>
        </w:r>
      </w:hyperlink>
      <w:r>
        <w:rPr>
          <w:lang w:val="en-GB"/>
        </w:rPr>
        <w:t xml:space="preserve"> </w:t>
      </w:r>
    </w:p>
  </w:footnote>
  <w:footnote w:id="14">
    <w:p w14:paraId="0C345709" w14:textId="1BAB70A7" w:rsidR="00CD076F" w:rsidRPr="00933E4F" w:rsidRDefault="00CD076F" w:rsidP="00781FFD">
      <w:pPr>
        <w:pStyle w:val="FootnoteText"/>
        <w:rPr>
          <w:lang w:val="en-GB"/>
        </w:rPr>
      </w:pPr>
      <w:r>
        <w:rPr>
          <w:rStyle w:val="FootnoteReference"/>
        </w:rPr>
        <w:footnoteRef/>
      </w:r>
      <w:r>
        <w:t xml:space="preserve"> </w:t>
      </w:r>
      <w:r>
        <w:rPr>
          <w:lang w:val="en-GB"/>
        </w:rPr>
        <w:t xml:space="preserve">See </w:t>
      </w:r>
      <w:r>
        <w:t xml:space="preserve">Justice Committee’s Thirteenth Report Women Offenders: Follow Up. 17 March 2015 URL: </w:t>
      </w:r>
      <w:hyperlink r:id="rId3" w:history="1">
        <w:r w:rsidRPr="00F57509">
          <w:rPr>
            <w:rStyle w:val="Hyperlink"/>
          </w:rPr>
          <w:t>http://www.publications.parliament.uk/pa/cm201415/cmselect/cmjust/314/31402.htm</w:t>
        </w:r>
      </w:hyperlink>
      <w:r>
        <w:t xml:space="preserve"> [23]</w:t>
      </w:r>
    </w:p>
  </w:footnote>
  <w:footnote w:id="15">
    <w:p w14:paraId="4EFB9B28" w14:textId="77777777" w:rsidR="00CD076F" w:rsidRPr="00EB29FB" w:rsidRDefault="00CD076F">
      <w:pPr>
        <w:pStyle w:val="FootnoteText"/>
        <w:rPr>
          <w:lang w:val="en-GB"/>
        </w:rPr>
      </w:pPr>
      <w:r>
        <w:rPr>
          <w:rStyle w:val="FootnoteReference"/>
        </w:rPr>
        <w:footnoteRef/>
      </w:r>
      <w:r>
        <w:t xml:space="preserve"> </w:t>
      </w:r>
      <w:r>
        <w:rPr>
          <w:lang w:val="en-GB"/>
        </w:rPr>
        <w:t xml:space="preserve">HMP/YOIs Send and Low Newton, </w:t>
      </w:r>
      <w:proofErr w:type="spellStart"/>
      <w:r>
        <w:rPr>
          <w:lang w:val="en-GB"/>
        </w:rPr>
        <w:t>Foston</w:t>
      </w:r>
      <w:proofErr w:type="spellEnd"/>
      <w:r>
        <w:rPr>
          <w:lang w:val="en-GB"/>
        </w:rPr>
        <w:t xml:space="preserve"> Hall, New Hall, and Eastwood Park</w:t>
      </w:r>
    </w:p>
  </w:footnote>
  <w:footnote w:id="16">
    <w:p w14:paraId="257C31CA" w14:textId="77777777" w:rsidR="00CD076F" w:rsidRDefault="00CD076F" w:rsidP="008A37EC">
      <w:pPr>
        <w:pStyle w:val="FootnoteText"/>
      </w:pPr>
      <w:r>
        <w:rPr>
          <w:rStyle w:val="FootnoteReference"/>
        </w:rPr>
        <w:footnoteRef/>
      </w:r>
      <w:r>
        <w:t xml:space="preserve"> </w:t>
      </w:r>
      <w:r>
        <w:rPr>
          <w:rFonts w:cs="Arial"/>
          <w:szCs w:val="24"/>
        </w:rPr>
        <w:t>I</w:t>
      </w:r>
      <w:r w:rsidRPr="00204397">
        <w:rPr>
          <w:rFonts w:cs="Arial"/>
          <w:szCs w:val="24"/>
        </w:rPr>
        <w:t>n this case Sweden, Norway and Finland</w:t>
      </w:r>
    </w:p>
  </w:footnote>
  <w:footnote w:id="17">
    <w:p w14:paraId="288EC736" w14:textId="77777777" w:rsidR="00CD076F" w:rsidRDefault="00CD076F" w:rsidP="008A37EC">
      <w:pPr>
        <w:pStyle w:val="FootnoteText"/>
      </w:pPr>
      <w:r>
        <w:rPr>
          <w:rStyle w:val="FootnoteReference"/>
        </w:rPr>
        <w:footnoteRef/>
      </w:r>
      <w:r>
        <w:t xml:space="preserve"> In Scotland, new officers must also obtain SVQ Level 3 in Custodial Care within the first two years in post – see </w:t>
      </w:r>
      <w:hyperlink r:id="rId4" w:history="1">
        <w:r w:rsidRPr="00262094">
          <w:rPr>
            <w:rStyle w:val="Hyperlink"/>
          </w:rPr>
          <w:t>http://www.sps.gov.uk/Careers/OpportunitiesintheSPS/The-Role-of-a-Prison-Officer.aspx</w:t>
        </w:r>
      </w:hyperlink>
      <w:r>
        <w:t xml:space="preserve"> .</w:t>
      </w:r>
    </w:p>
  </w:footnote>
  <w:footnote w:id="18">
    <w:p w14:paraId="087D1845" w14:textId="77777777" w:rsidR="00CD076F" w:rsidRPr="00653039" w:rsidRDefault="00CD076F" w:rsidP="00EB29FB">
      <w:pPr>
        <w:rPr>
          <w:sz w:val="22"/>
          <w:szCs w:val="22"/>
        </w:rPr>
      </w:pPr>
      <w:r w:rsidRPr="00EB29FB">
        <w:rPr>
          <w:rStyle w:val="FootnoteReference"/>
          <w:sz w:val="22"/>
          <w:szCs w:val="22"/>
        </w:rPr>
        <w:footnoteRef/>
      </w:r>
      <w:r w:rsidRPr="00EB29FB">
        <w:rPr>
          <w:sz w:val="22"/>
          <w:szCs w:val="22"/>
        </w:rPr>
        <w:t xml:space="preserve"> </w:t>
      </w:r>
      <w:r>
        <w:rPr>
          <w:sz w:val="22"/>
          <w:szCs w:val="22"/>
        </w:rPr>
        <w:t xml:space="preserve">In the last ten years (2002-2012) the number of women admitted to federal jurisdictions has increased by almost 70% (compared to 17% for men).  See Public Safety Canada (2012) 2012 Corrections and Conditional Release Statistical Overview. URL: </w:t>
      </w:r>
      <w:hyperlink r:id="rId5" w:anchor="c4" w:history="1">
        <w:r w:rsidRPr="00331A7C">
          <w:rPr>
            <w:rStyle w:val="Hyperlink"/>
            <w:sz w:val="22"/>
            <w:szCs w:val="22"/>
          </w:rPr>
          <w:t>http://www.publicsafety.gc.ca/cnt/rsrcs/pblctns/2012-ccrs/index-eng.aspx#c4</w:t>
        </w:r>
      </w:hyperlink>
    </w:p>
  </w:footnote>
  <w:footnote w:id="19">
    <w:p w14:paraId="4218C4A4" w14:textId="77777777" w:rsidR="00CD076F" w:rsidRPr="00EB29FB" w:rsidRDefault="00CD076F">
      <w:pPr>
        <w:pStyle w:val="FootnoteText"/>
        <w:rPr>
          <w:lang w:val="en-GB"/>
        </w:rPr>
      </w:pPr>
      <w:r>
        <w:rPr>
          <w:rStyle w:val="FootnoteReference"/>
        </w:rPr>
        <w:footnoteRef/>
      </w:r>
      <w:r>
        <w:t xml:space="preserve"> </w:t>
      </w:r>
      <w:r w:rsidRPr="004C29F3">
        <w:rPr>
          <w:rFonts w:eastAsia="Times New Roman"/>
          <w:szCs w:val="22"/>
        </w:rPr>
        <w:t>The ICPS World Female Imprisonment List (2</w:t>
      </w:r>
      <w:r w:rsidRPr="004C29F3">
        <w:rPr>
          <w:rFonts w:eastAsia="Times New Roman"/>
          <w:szCs w:val="22"/>
          <w:vertAlign w:val="superscript"/>
        </w:rPr>
        <w:t>nd</w:t>
      </w:r>
      <w:r w:rsidRPr="004C29F3">
        <w:rPr>
          <w:rFonts w:eastAsia="Times New Roman"/>
          <w:szCs w:val="22"/>
        </w:rPr>
        <w:t xml:space="preserve"> Ed.) quotes a </w:t>
      </w:r>
      <w:r>
        <w:rPr>
          <w:rFonts w:eastAsia="Times New Roman"/>
          <w:szCs w:val="22"/>
        </w:rPr>
        <w:t xml:space="preserve">total (federal and provincial) </w:t>
      </w:r>
      <w:r w:rsidRPr="004C29F3">
        <w:rPr>
          <w:rFonts w:eastAsia="Times New Roman"/>
          <w:szCs w:val="22"/>
        </w:rPr>
        <w:t>female prison population of nearly 2000 women</w:t>
      </w:r>
      <w:r>
        <w:rPr>
          <w:rFonts w:eastAsia="Times New Roman"/>
          <w:szCs w:val="22"/>
        </w:rPr>
        <w:t xml:space="preserve"> in 2008/9</w:t>
      </w:r>
      <w:r w:rsidRPr="004C29F3">
        <w:rPr>
          <w:rFonts w:eastAsia="Times New Roman"/>
          <w:szCs w:val="22"/>
        </w:rPr>
        <w:t xml:space="preserve">, representing 5.1 % </w:t>
      </w:r>
      <w:r>
        <w:rPr>
          <w:rFonts w:eastAsia="Times New Roman"/>
          <w:szCs w:val="22"/>
        </w:rPr>
        <w:t xml:space="preserve">of the total prison population. </w:t>
      </w:r>
      <w:r w:rsidRPr="004C29F3">
        <w:rPr>
          <w:rFonts w:eastAsia="Times New Roman"/>
          <w:szCs w:val="22"/>
        </w:rPr>
        <w:t xml:space="preserve">See URL: </w:t>
      </w:r>
      <w:hyperlink r:id="rId6" w:history="1">
        <w:r w:rsidRPr="004C29F3">
          <w:rPr>
            <w:rFonts w:eastAsia="Times New Roman"/>
            <w:color w:val="0000FF" w:themeColor="hyperlink"/>
            <w:szCs w:val="22"/>
            <w:u w:val="single"/>
          </w:rPr>
          <w:t>http://www.prisonstudies.org/sites/default/files/resources/downloads/wfil_2nd_edition.pdf</w:t>
        </w:r>
      </w:hyperlink>
    </w:p>
  </w:footnote>
  <w:footnote w:id="20">
    <w:p w14:paraId="4B3C9C8C" w14:textId="77777777" w:rsidR="00CD076F" w:rsidRPr="009049E1" w:rsidRDefault="00CD076F">
      <w:pPr>
        <w:pStyle w:val="FootnoteText"/>
        <w:rPr>
          <w:lang w:val="en-GB"/>
        </w:rPr>
      </w:pPr>
      <w:r>
        <w:rPr>
          <w:rStyle w:val="FootnoteReference"/>
        </w:rPr>
        <w:footnoteRef/>
      </w:r>
      <w:r>
        <w:t xml:space="preserve"> </w:t>
      </w:r>
      <w:r>
        <w:rPr>
          <w:lang w:val="en-GB"/>
        </w:rPr>
        <w:t>Further analysis would be required to determine how this compares to other countries.</w:t>
      </w:r>
    </w:p>
  </w:footnote>
  <w:footnote w:id="21">
    <w:p w14:paraId="6F4E7FF2" w14:textId="77777777" w:rsidR="00CD076F" w:rsidRDefault="00CD076F" w:rsidP="008A37EC">
      <w:pPr>
        <w:pStyle w:val="FootnoteText"/>
      </w:pPr>
      <w:r>
        <w:rPr>
          <w:rStyle w:val="FootnoteReference"/>
        </w:rPr>
        <w:footnoteRef/>
      </w:r>
      <w:r>
        <w:t xml:space="preserve"> In a cottage-style model women share houses (4-8 women). They have their own bedroom but share bathroom, kitchen and laundry facilities.  They generally cook their own food and decide as a group on meal plans, cleaning and budgeting.  </w:t>
      </w:r>
    </w:p>
  </w:footnote>
  <w:footnote w:id="22">
    <w:p w14:paraId="318F65FE" w14:textId="5D5F3BB2" w:rsidR="00CD076F" w:rsidRPr="00D17C56" w:rsidRDefault="00CD076F" w:rsidP="008A37EC">
      <w:pPr>
        <w:pStyle w:val="FootnoteText"/>
        <w:rPr>
          <w:szCs w:val="22"/>
        </w:rPr>
      </w:pPr>
      <w:r w:rsidRPr="00D17C56">
        <w:rPr>
          <w:rStyle w:val="FootnoteReference"/>
          <w:sz w:val="22"/>
          <w:szCs w:val="22"/>
        </w:rPr>
        <w:footnoteRef/>
      </w:r>
      <w:r w:rsidRPr="00D17C56">
        <w:rPr>
          <w:szCs w:val="22"/>
        </w:rPr>
        <w:t xml:space="preserve"> </w:t>
      </w:r>
      <w:r w:rsidR="00402D02">
        <w:rPr>
          <w:rFonts w:ascii="Helvetica" w:hAnsi="Helvetica" w:cs="Helvetica"/>
          <w:color w:val="000000"/>
          <w:sz w:val="20"/>
        </w:rPr>
        <w:t xml:space="preserve">See </w:t>
      </w:r>
      <w:hyperlink r:id="rId7" w:history="1">
        <w:r w:rsidR="00402D02" w:rsidRPr="00402D02">
          <w:rPr>
            <w:rStyle w:val="Hyperlink"/>
            <w:rFonts w:ascii="Helvetica" w:hAnsi="Helvetica" w:cs="Helvetica"/>
            <w:sz w:val="20"/>
          </w:rPr>
          <w:t>http://www.gov.scot/Publications/2014/03/9823/11</w:t>
        </w:r>
      </w:hyperlink>
      <w:r w:rsidR="00402D02">
        <w:rPr>
          <w:rFonts w:ascii="Helvetica" w:hAnsi="Helvetica" w:cs="Helvetica"/>
          <w:color w:val="000000"/>
          <w:sz w:val="20"/>
        </w:rPr>
        <w:t xml:space="preserve"> (Section 8.3)</w:t>
      </w:r>
    </w:p>
  </w:footnote>
  <w:footnote w:id="23">
    <w:p w14:paraId="65489D82" w14:textId="77777777" w:rsidR="00CD076F" w:rsidRPr="00EA14CB" w:rsidRDefault="00CD076F" w:rsidP="008A37EC">
      <w:pPr>
        <w:pStyle w:val="FootnoteText"/>
      </w:pPr>
      <w:r>
        <w:rPr>
          <w:rStyle w:val="FootnoteReference"/>
        </w:rPr>
        <w:footnoteRef/>
      </w:r>
      <w:r>
        <w:t xml:space="preserve"> </w:t>
      </w:r>
      <w:r>
        <w:rPr>
          <w:rFonts w:cs="Arial"/>
          <w:szCs w:val="24"/>
        </w:rPr>
        <w:t xml:space="preserve">Current estimates derive from self-completion prison surveys rather than official records (the latest </w:t>
      </w:r>
      <w:r w:rsidRPr="00EA14CB">
        <w:rPr>
          <w:rFonts w:cs="Arial"/>
          <w:szCs w:val="24"/>
        </w:rPr>
        <w:t>survey in 2013 was based on 226 female respondents; a 60% response rate)</w:t>
      </w:r>
    </w:p>
  </w:footnote>
  <w:footnote w:id="24">
    <w:p w14:paraId="2DCF7512" w14:textId="77777777" w:rsidR="00CD076F" w:rsidRDefault="00CD076F" w:rsidP="008A37EC">
      <w:pPr>
        <w:pStyle w:val="FootnoteText"/>
      </w:pPr>
      <w:r w:rsidRPr="00EA14CB">
        <w:rPr>
          <w:rStyle w:val="FootnoteReference"/>
        </w:rPr>
        <w:footnoteRef/>
      </w:r>
      <w:r w:rsidRPr="00EA14CB">
        <w:t xml:space="preserve"> These figures derive from analysis of the SPS 2013 Prison Survey data (unpublished).</w:t>
      </w:r>
    </w:p>
  </w:footnote>
  <w:footnote w:id="25">
    <w:p w14:paraId="0ACAFC26" w14:textId="77777777" w:rsidR="00CD076F" w:rsidRDefault="00CD076F" w:rsidP="008A37EC">
      <w:pPr>
        <w:pStyle w:val="FootnoteText"/>
      </w:pPr>
      <w:r>
        <w:rPr>
          <w:rStyle w:val="FootnoteReference"/>
        </w:rPr>
        <w:footnoteRef/>
      </w:r>
      <w:r>
        <w:t xml:space="preserve"> Respondents to the survey reported being mothers to approximately 234 children (based on the number of women that reported having 1, 2, 3, 4, 5, or 6+ children).  The 400 figure was based on a total of 234 representing 60% of the prison population (the response rate to the survey was 60%).   </w:t>
      </w:r>
    </w:p>
  </w:footnote>
  <w:footnote w:id="26">
    <w:p w14:paraId="2837F1A8" w14:textId="77777777" w:rsidR="00CD076F" w:rsidRDefault="00CD076F" w:rsidP="008A37EC">
      <w:pPr>
        <w:pStyle w:val="FootnoteText"/>
      </w:pPr>
      <w:r>
        <w:rPr>
          <w:rStyle w:val="FootnoteReference"/>
        </w:rPr>
        <w:footnoteRef/>
      </w:r>
      <w:r>
        <w:t xml:space="preserve"> 57% of both male and female prisoners reported that their families and friends faced difficulties visiting them (SPS, 2013)</w:t>
      </w:r>
    </w:p>
  </w:footnote>
  <w:footnote w:id="27">
    <w:p w14:paraId="053E882F" w14:textId="77777777" w:rsidR="00CD076F" w:rsidRPr="00EB29FB" w:rsidRDefault="00CD076F">
      <w:pPr>
        <w:pStyle w:val="FootnoteText"/>
        <w:rPr>
          <w:lang w:val="en-GB"/>
        </w:rPr>
      </w:pPr>
      <w:r>
        <w:rPr>
          <w:rStyle w:val="FootnoteReference"/>
        </w:rPr>
        <w:footnoteRef/>
      </w:r>
      <w:r>
        <w:t xml:space="preserve"> </w:t>
      </w:r>
      <w:r>
        <w:rPr>
          <w:lang w:val="en-GB"/>
        </w:rPr>
        <w:t>It was not possible within the timeframes of this review to undertake a systematic search for this type of evidence.</w:t>
      </w:r>
    </w:p>
  </w:footnote>
  <w:footnote w:id="28">
    <w:p w14:paraId="4AFB37DC" w14:textId="77777777" w:rsidR="00CD076F" w:rsidRPr="006D0FA9" w:rsidRDefault="00CD076F">
      <w:pPr>
        <w:pStyle w:val="FootnoteText"/>
        <w:rPr>
          <w:lang w:val="en-GB"/>
        </w:rPr>
      </w:pPr>
      <w:r>
        <w:rPr>
          <w:rStyle w:val="FootnoteReference"/>
        </w:rPr>
        <w:footnoteRef/>
      </w:r>
      <w:r>
        <w:t xml:space="preserve"> However, </w:t>
      </w:r>
      <w:r>
        <w:rPr>
          <w:lang w:val="en-GB"/>
        </w:rPr>
        <w:t>it can be difficult to compare international measures of recidivism as countries define this in different ways and apply it to different populations over different time periods.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F"/>
    <w:lvl w:ilvl="0">
      <w:start w:val="1"/>
      <w:numFmt w:val="decimal"/>
      <w:lvlText w:val="%1."/>
      <w:legacy w:legacy="1" w:legacySpace="288" w:legacyIndent="720"/>
      <w:lvlJc w:val="left"/>
    </w:lvl>
    <w:lvl w:ilvl="1">
      <w:start w:val="1"/>
      <w:numFmt w:val="decimal"/>
      <w:lvlText w:val="%1.%2"/>
      <w:legacy w:legacy="1" w:legacySpace="284" w:legacyIndent="720"/>
      <w:lvlJc w:val="left"/>
    </w:lvl>
    <w:lvl w:ilvl="2">
      <w:start w:val="1"/>
      <w:numFmt w:val="decimal"/>
      <w:lvlText w:val="%1.%2.%3"/>
      <w:legacy w:legacy="1" w:legacySpace="284" w:legacyIndent="72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nsid w:val="09732D79"/>
    <w:multiLevelType w:val="hybridMultilevel"/>
    <w:tmpl w:val="7AE63A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BDE71DE"/>
    <w:multiLevelType w:val="hybridMultilevel"/>
    <w:tmpl w:val="5E5A32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E1737EA"/>
    <w:multiLevelType w:val="hybridMultilevel"/>
    <w:tmpl w:val="8B0E12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6990DDB"/>
    <w:multiLevelType w:val="hybridMultilevel"/>
    <w:tmpl w:val="6F962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76C328B"/>
    <w:multiLevelType w:val="hybridMultilevel"/>
    <w:tmpl w:val="A4C6DC6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19297DE6"/>
    <w:multiLevelType w:val="hybridMultilevel"/>
    <w:tmpl w:val="8AF0AB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19370680"/>
    <w:multiLevelType w:val="hybridMultilevel"/>
    <w:tmpl w:val="199CDD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1A5E373A"/>
    <w:multiLevelType w:val="hybridMultilevel"/>
    <w:tmpl w:val="A6E04B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21B83C69"/>
    <w:multiLevelType w:val="hybridMultilevel"/>
    <w:tmpl w:val="871846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230076BD"/>
    <w:multiLevelType w:val="hybridMultilevel"/>
    <w:tmpl w:val="03EA71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238A229D"/>
    <w:multiLevelType w:val="hybridMultilevel"/>
    <w:tmpl w:val="4C68A4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272B45FB"/>
    <w:multiLevelType w:val="hybridMultilevel"/>
    <w:tmpl w:val="CF44E0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2A151DB4"/>
    <w:multiLevelType w:val="hybridMultilevel"/>
    <w:tmpl w:val="373681B2"/>
    <w:lvl w:ilvl="0" w:tplc="1954ED60">
      <w:start w:val="1"/>
      <w:numFmt w:val="bullet"/>
      <w:pStyle w:val="SGTablebullets"/>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A343821"/>
    <w:multiLevelType w:val="hybridMultilevel"/>
    <w:tmpl w:val="09C2C9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2C991E96"/>
    <w:multiLevelType w:val="hybridMultilevel"/>
    <w:tmpl w:val="10A87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2D3C0302"/>
    <w:multiLevelType w:val="hybridMultilevel"/>
    <w:tmpl w:val="4B764F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2EA538A5"/>
    <w:multiLevelType w:val="hybridMultilevel"/>
    <w:tmpl w:val="D73CD49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2F6C7EB4"/>
    <w:multiLevelType w:val="hybridMultilevel"/>
    <w:tmpl w:val="095A40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30EF03D0"/>
    <w:multiLevelType w:val="hybridMultilevel"/>
    <w:tmpl w:val="CDA6E5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345F5BE8"/>
    <w:multiLevelType w:val="hybridMultilevel"/>
    <w:tmpl w:val="11DA3CCE"/>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38386C89"/>
    <w:multiLevelType w:val="hybridMultilevel"/>
    <w:tmpl w:val="3D401F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3D121415"/>
    <w:multiLevelType w:val="hybridMultilevel"/>
    <w:tmpl w:val="E0D04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3D676034"/>
    <w:multiLevelType w:val="hybridMultilevel"/>
    <w:tmpl w:val="B93E25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3D797C31"/>
    <w:multiLevelType w:val="hybridMultilevel"/>
    <w:tmpl w:val="8C26FB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3E6C6A5B"/>
    <w:multiLevelType w:val="hybridMultilevel"/>
    <w:tmpl w:val="F9DAEC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45CB43B3"/>
    <w:multiLevelType w:val="hybridMultilevel"/>
    <w:tmpl w:val="C8C4931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48E4145F"/>
    <w:multiLevelType w:val="hybridMultilevel"/>
    <w:tmpl w:val="7A70B1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4A09736B"/>
    <w:multiLevelType w:val="hybridMultilevel"/>
    <w:tmpl w:val="1BAC03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4BB7663D"/>
    <w:multiLevelType w:val="hybridMultilevel"/>
    <w:tmpl w:val="78AA6E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nsid w:val="4DBE29EA"/>
    <w:multiLevelType w:val="hybridMultilevel"/>
    <w:tmpl w:val="06E841EE"/>
    <w:lvl w:ilvl="0" w:tplc="C1E0669C">
      <w:start w:val="1"/>
      <w:numFmt w:val="decimal"/>
      <w:pStyle w:val="SGNumbered"/>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nsid w:val="4F907CD8"/>
    <w:multiLevelType w:val="hybridMultilevel"/>
    <w:tmpl w:val="C32857AE"/>
    <w:lvl w:ilvl="0" w:tplc="43128DB8">
      <w:start w:val="1"/>
      <w:numFmt w:val="bullet"/>
      <w:pStyle w:val="SG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59473F54"/>
    <w:multiLevelType w:val="hybridMultilevel"/>
    <w:tmpl w:val="85766F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5BF74EFB"/>
    <w:multiLevelType w:val="hybridMultilevel"/>
    <w:tmpl w:val="790EB1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5C02150D"/>
    <w:multiLevelType w:val="hybridMultilevel"/>
    <w:tmpl w:val="838E6B12"/>
    <w:lvl w:ilvl="0" w:tplc="721E513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652C1161"/>
    <w:multiLevelType w:val="singleLevel"/>
    <w:tmpl w:val="8946CF6E"/>
    <w:lvl w:ilvl="0">
      <w:start w:val="1"/>
      <w:numFmt w:val="bullet"/>
      <w:pStyle w:val="Bulletted"/>
      <w:lvlText w:val=""/>
      <w:lvlJc w:val="left"/>
      <w:pPr>
        <w:tabs>
          <w:tab w:val="num" w:pos="360"/>
        </w:tabs>
        <w:ind w:left="360" w:hanging="360"/>
      </w:pPr>
      <w:rPr>
        <w:rFonts w:ascii="Symbol" w:hAnsi="Symbol" w:hint="default"/>
      </w:rPr>
    </w:lvl>
  </w:abstractNum>
  <w:abstractNum w:abstractNumId="36">
    <w:nsid w:val="6C0D07C8"/>
    <w:multiLevelType w:val="hybridMultilevel"/>
    <w:tmpl w:val="8D14BA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nsid w:val="6D9824D8"/>
    <w:multiLevelType w:val="hybridMultilevel"/>
    <w:tmpl w:val="0CBCEF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nsid w:val="71C26978"/>
    <w:multiLevelType w:val="hybridMultilevel"/>
    <w:tmpl w:val="F6862C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nsid w:val="77F5497D"/>
    <w:multiLevelType w:val="hybridMultilevel"/>
    <w:tmpl w:val="1186AD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nsid w:val="78CE429F"/>
    <w:multiLevelType w:val="hybridMultilevel"/>
    <w:tmpl w:val="3B8AB0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nsid w:val="7A8F13B5"/>
    <w:multiLevelType w:val="hybridMultilevel"/>
    <w:tmpl w:val="3BF20E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nsid w:val="7C4F47AE"/>
    <w:multiLevelType w:val="hybridMultilevel"/>
    <w:tmpl w:val="17FEED64"/>
    <w:lvl w:ilvl="0" w:tplc="E7B0F322">
      <w:start w:val="1"/>
      <w:numFmt w:val="lowerRoman"/>
      <w:pStyle w:val="ExecSummaryBodyText"/>
      <w:lvlText w:val="%1."/>
      <w:lvlJc w:val="left"/>
      <w:pPr>
        <w:ind w:left="36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1"/>
  </w:num>
  <w:num w:numId="3">
    <w:abstractNumId w:val="30"/>
  </w:num>
  <w:num w:numId="4">
    <w:abstractNumId w:val="13"/>
  </w:num>
  <w:num w:numId="5">
    <w:abstractNumId w:val="37"/>
  </w:num>
  <w:num w:numId="6">
    <w:abstractNumId w:val="5"/>
  </w:num>
  <w:num w:numId="7">
    <w:abstractNumId w:val="18"/>
  </w:num>
  <w:num w:numId="8">
    <w:abstractNumId w:val="4"/>
  </w:num>
  <w:num w:numId="9">
    <w:abstractNumId w:val="35"/>
  </w:num>
  <w:num w:numId="10">
    <w:abstractNumId w:val="21"/>
  </w:num>
  <w:num w:numId="11">
    <w:abstractNumId w:val="3"/>
  </w:num>
  <w:num w:numId="12">
    <w:abstractNumId w:val="1"/>
  </w:num>
  <w:num w:numId="13">
    <w:abstractNumId w:val="28"/>
  </w:num>
  <w:num w:numId="14">
    <w:abstractNumId w:val="11"/>
  </w:num>
  <w:num w:numId="15">
    <w:abstractNumId w:val="33"/>
  </w:num>
  <w:num w:numId="16">
    <w:abstractNumId w:val="6"/>
  </w:num>
  <w:num w:numId="17">
    <w:abstractNumId w:val="22"/>
  </w:num>
  <w:num w:numId="18">
    <w:abstractNumId w:val="32"/>
  </w:num>
  <w:num w:numId="19">
    <w:abstractNumId w:val="38"/>
  </w:num>
  <w:num w:numId="20">
    <w:abstractNumId w:val="26"/>
  </w:num>
  <w:num w:numId="21">
    <w:abstractNumId w:val="25"/>
  </w:num>
  <w:num w:numId="22">
    <w:abstractNumId w:val="29"/>
  </w:num>
  <w:num w:numId="23">
    <w:abstractNumId w:val="27"/>
  </w:num>
  <w:num w:numId="24">
    <w:abstractNumId w:val="7"/>
  </w:num>
  <w:num w:numId="25">
    <w:abstractNumId w:val="10"/>
  </w:num>
  <w:num w:numId="26">
    <w:abstractNumId w:val="8"/>
  </w:num>
  <w:num w:numId="27">
    <w:abstractNumId w:val="12"/>
  </w:num>
  <w:num w:numId="28">
    <w:abstractNumId w:val="41"/>
  </w:num>
  <w:num w:numId="29">
    <w:abstractNumId w:val="16"/>
  </w:num>
  <w:num w:numId="30">
    <w:abstractNumId w:val="15"/>
  </w:num>
  <w:num w:numId="31">
    <w:abstractNumId w:val="17"/>
  </w:num>
  <w:num w:numId="32">
    <w:abstractNumId w:val="19"/>
  </w:num>
  <w:num w:numId="33">
    <w:abstractNumId w:val="20"/>
  </w:num>
  <w:num w:numId="34">
    <w:abstractNumId w:val="39"/>
  </w:num>
  <w:num w:numId="35">
    <w:abstractNumId w:val="40"/>
  </w:num>
  <w:num w:numId="36">
    <w:abstractNumId w:val="14"/>
  </w:num>
  <w:num w:numId="37">
    <w:abstractNumId w:val="2"/>
  </w:num>
  <w:num w:numId="38">
    <w:abstractNumId w:val="36"/>
  </w:num>
  <w:num w:numId="39">
    <w:abstractNumId w:val="23"/>
  </w:num>
  <w:num w:numId="40">
    <w:abstractNumId w:val="24"/>
  </w:num>
  <w:num w:numId="41">
    <w:abstractNumId w:val="0"/>
  </w:num>
  <w:num w:numId="42">
    <w:abstractNumId w:val="9"/>
  </w:num>
  <w:num w:numId="43">
    <w:abstractNumId w:val="34"/>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proofState w:spelling="clean" w:grammar="clean"/>
  <w:stylePaneFormatFilter w:val="1808" w:allStyles="0" w:customStyles="0" w:latentStyles="0" w:stylesInUse="1" w:headingStyles="0" w:numberingStyles="0" w:tableStyles="0" w:directFormattingOnRuns="0" w:directFormattingOnParagraphs="0" w:directFormattingOnNumbering="0" w:directFormattingOnTables="1" w:clearFormatting="1" w:top3HeadingStyles="0" w:visibleStyles="0" w:alternateStyleNames="0"/>
  <w:stylePaneSortMethod w:val="0000"/>
  <w:documentProtection w:formatting="1" w:enforcement="0"/>
  <w:autoFormatOverride/>
  <w:defaultTabStop w:val="720"/>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2CF8"/>
    <w:rsid w:val="000048D2"/>
    <w:rsid w:val="000102BD"/>
    <w:rsid w:val="00016A45"/>
    <w:rsid w:val="00020028"/>
    <w:rsid w:val="00020AAC"/>
    <w:rsid w:val="00022B92"/>
    <w:rsid w:val="00022EB9"/>
    <w:rsid w:val="00033D2A"/>
    <w:rsid w:val="000344A5"/>
    <w:rsid w:val="00034677"/>
    <w:rsid w:val="00051B77"/>
    <w:rsid w:val="00060A03"/>
    <w:rsid w:val="00063E74"/>
    <w:rsid w:val="00064AB8"/>
    <w:rsid w:val="0006518E"/>
    <w:rsid w:val="000704D1"/>
    <w:rsid w:val="000712F5"/>
    <w:rsid w:val="00071F6E"/>
    <w:rsid w:val="00072B27"/>
    <w:rsid w:val="00073B83"/>
    <w:rsid w:val="00080500"/>
    <w:rsid w:val="00080E94"/>
    <w:rsid w:val="00082902"/>
    <w:rsid w:val="0008408A"/>
    <w:rsid w:val="00090EF9"/>
    <w:rsid w:val="00093F16"/>
    <w:rsid w:val="00095D55"/>
    <w:rsid w:val="0009768B"/>
    <w:rsid w:val="000B6F34"/>
    <w:rsid w:val="000B6F57"/>
    <w:rsid w:val="000D1393"/>
    <w:rsid w:val="000D17E6"/>
    <w:rsid w:val="000D32A7"/>
    <w:rsid w:val="000D4DC6"/>
    <w:rsid w:val="000D7411"/>
    <w:rsid w:val="000E57F5"/>
    <w:rsid w:val="000E5D23"/>
    <w:rsid w:val="000E741B"/>
    <w:rsid w:val="000E7F70"/>
    <w:rsid w:val="000F07F5"/>
    <w:rsid w:val="000F7094"/>
    <w:rsid w:val="000F7A30"/>
    <w:rsid w:val="001006C8"/>
    <w:rsid w:val="00100B55"/>
    <w:rsid w:val="00102126"/>
    <w:rsid w:val="00103752"/>
    <w:rsid w:val="0010452C"/>
    <w:rsid w:val="00107032"/>
    <w:rsid w:val="0010717A"/>
    <w:rsid w:val="0011240E"/>
    <w:rsid w:val="00120D2A"/>
    <w:rsid w:val="001279C3"/>
    <w:rsid w:val="00130C1B"/>
    <w:rsid w:val="00134F1E"/>
    <w:rsid w:val="00137123"/>
    <w:rsid w:val="00144B59"/>
    <w:rsid w:val="0014588B"/>
    <w:rsid w:val="00145AEB"/>
    <w:rsid w:val="001512BE"/>
    <w:rsid w:val="00154A8B"/>
    <w:rsid w:val="00157A7A"/>
    <w:rsid w:val="00160976"/>
    <w:rsid w:val="00162262"/>
    <w:rsid w:val="00163E7C"/>
    <w:rsid w:val="0016563E"/>
    <w:rsid w:val="001677AF"/>
    <w:rsid w:val="00175DB5"/>
    <w:rsid w:val="00182B78"/>
    <w:rsid w:val="00185E01"/>
    <w:rsid w:val="00190189"/>
    <w:rsid w:val="001A4E4A"/>
    <w:rsid w:val="001A525F"/>
    <w:rsid w:val="001B34A1"/>
    <w:rsid w:val="001B5A7C"/>
    <w:rsid w:val="001C0CD4"/>
    <w:rsid w:val="001C3190"/>
    <w:rsid w:val="001C562E"/>
    <w:rsid w:val="001C5FB5"/>
    <w:rsid w:val="001C790F"/>
    <w:rsid w:val="001D644F"/>
    <w:rsid w:val="001E0311"/>
    <w:rsid w:val="001E759C"/>
    <w:rsid w:val="001F081A"/>
    <w:rsid w:val="001F13E0"/>
    <w:rsid w:val="001F6460"/>
    <w:rsid w:val="001F780D"/>
    <w:rsid w:val="00202B02"/>
    <w:rsid w:val="00204397"/>
    <w:rsid w:val="0021366E"/>
    <w:rsid w:val="0023330C"/>
    <w:rsid w:val="00234732"/>
    <w:rsid w:val="00236786"/>
    <w:rsid w:val="00241A70"/>
    <w:rsid w:val="00245F8F"/>
    <w:rsid w:val="00246821"/>
    <w:rsid w:val="00246F60"/>
    <w:rsid w:val="00250AF9"/>
    <w:rsid w:val="00250FFD"/>
    <w:rsid w:val="002534E9"/>
    <w:rsid w:val="00261BCE"/>
    <w:rsid w:val="00267455"/>
    <w:rsid w:val="00272DB1"/>
    <w:rsid w:val="00275DB5"/>
    <w:rsid w:val="002761A2"/>
    <w:rsid w:val="00277434"/>
    <w:rsid w:val="0028108C"/>
    <w:rsid w:val="002814D5"/>
    <w:rsid w:val="00284F0C"/>
    <w:rsid w:val="002A0421"/>
    <w:rsid w:val="002C3554"/>
    <w:rsid w:val="002D49D6"/>
    <w:rsid w:val="002D7877"/>
    <w:rsid w:val="002E113F"/>
    <w:rsid w:val="002E2F49"/>
    <w:rsid w:val="002E3249"/>
    <w:rsid w:val="002E438C"/>
    <w:rsid w:val="002E4503"/>
    <w:rsid w:val="002F0E89"/>
    <w:rsid w:val="002F20AC"/>
    <w:rsid w:val="002F2230"/>
    <w:rsid w:val="002F2585"/>
    <w:rsid w:val="002F2622"/>
    <w:rsid w:val="002F348C"/>
    <w:rsid w:val="002F5B00"/>
    <w:rsid w:val="00300776"/>
    <w:rsid w:val="00302F6C"/>
    <w:rsid w:val="0030680A"/>
    <w:rsid w:val="003103ED"/>
    <w:rsid w:val="00311904"/>
    <w:rsid w:val="00313066"/>
    <w:rsid w:val="00313C10"/>
    <w:rsid w:val="003179E9"/>
    <w:rsid w:val="00320699"/>
    <w:rsid w:val="00320B7D"/>
    <w:rsid w:val="003303B3"/>
    <w:rsid w:val="00337AB7"/>
    <w:rsid w:val="00350425"/>
    <w:rsid w:val="003517DD"/>
    <w:rsid w:val="00362642"/>
    <w:rsid w:val="00367EE3"/>
    <w:rsid w:val="00371380"/>
    <w:rsid w:val="00372968"/>
    <w:rsid w:val="00377FBE"/>
    <w:rsid w:val="003848F1"/>
    <w:rsid w:val="00385520"/>
    <w:rsid w:val="0039003D"/>
    <w:rsid w:val="003920D9"/>
    <w:rsid w:val="003D3C13"/>
    <w:rsid w:val="003E7676"/>
    <w:rsid w:val="003F3171"/>
    <w:rsid w:val="004009E7"/>
    <w:rsid w:val="00401708"/>
    <w:rsid w:val="00402D02"/>
    <w:rsid w:val="004056E7"/>
    <w:rsid w:val="0041348B"/>
    <w:rsid w:val="00417184"/>
    <w:rsid w:val="00426DDD"/>
    <w:rsid w:val="004314EA"/>
    <w:rsid w:val="0043553B"/>
    <w:rsid w:val="00435555"/>
    <w:rsid w:val="0043583B"/>
    <w:rsid w:val="0045297A"/>
    <w:rsid w:val="00457DA9"/>
    <w:rsid w:val="004612F6"/>
    <w:rsid w:val="00465088"/>
    <w:rsid w:val="00474DE0"/>
    <w:rsid w:val="00477F66"/>
    <w:rsid w:val="00484BDC"/>
    <w:rsid w:val="0048685A"/>
    <w:rsid w:val="00486A47"/>
    <w:rsid w:val="00492C97"/>
    <w:rsid w:val="00493531"/>
    <w:rsid w:val="004940FB"/>
    <w:rsid w:val="004951FD"/>
    <w:rsid w:val="004A1C5D"/>
    <w:rsid w:val="004A3814"/>
    <w:rsid w:val="004A40F5"/>
    <w:rsid w:val="004A68F1"/>
    <w:rsid w:val="004B6CEF"/>
    <w:rsid w:val="004C212C"/>
    <w:rsid w:val="004C2244"/>
    <w:rsid w:val="004C3B51"/>
    <w:rsid w:val="004C438F"/>
    <w:rsid w:val="004D0E1E"/>
    <w:rsid w:val="004E2B07"/>
    <w:rsid w:val="004E52EE"/>
    <w:rsid w:val="004F20EC"/>
    <w:rsid w:val="004F3678"/>
    <w:rsid w:val="004F6A1F"/>
    <w:rsid w:val="00505F0A"/>
    <w:rsid w:val="00510F25"/>
    <w:rsid w:val="00514B82"/>
    <w:rsid w:val="00514C15"/>
    <w:rsid w:val="00515E4A"/>
    <w:rsid w:val="00522CBC"/>
    <w:rsid w:val="0053072C"/>
    <w:rsid w:val="00532961"/>
    <w:rsid w:val="00541C2F"/>
    <w:rsid w:val="0054384A"/>
    <w:rsid w:val="005469F0"/>
    <w:rsid w:val="005502F9"/>
    <w:rsid w:val="00562D70"/>
    <w:rsid w:val="005662D8"/>
    <w:rsid w:val="00566934"/>
    <w:rsid w:val="00583C10"/>
    <w:rsid w:val="00585DEC"/>
    <w:rsid w:val="00587B82"/>
    <w:rsid w:val="00591CB8"/>
    <w:rsid w:val="00596806"/>
    <w:rsid w:val="005976FA"/>
    <w:rsid w:val="005A3E46"/>
    <w:rsid w:val="005A5E31"/>
    <w:rsid w:val="005A7D4F"/>
    <w:rsid w:val="005B0708"/>
    <w:rsid w:val="005B0FBD"/>
    <w:rsid w:val="005C6508"/>
    <w:rsid w:val="005D6AA6"/>
    <w:rsid w:val="005E3216"/>
    <w:rsid w:val="005E3417"/>
    <w:rsid w:val="005E7291"/>
    <w:rsid w:val="005E7CC5"/>
    <w:rsid w:val="0061100A"/>
    <w:rsid w:val="00612C7C"/>
    <w:rsid w:val="006151D1"/>
    <w:rsid w:val="00615C18"/>
    <w:rsid w:val="006220BA"/>
    <w:rsid w:val="0062349D"/>
    <w:rsid w:val="00624FBF"/>
    <w:rsid w:val="00625B24"/>
    <w:rsid w:val="00633070"/>
    <w:rsid w:val="006343D1"/>
    <w:rsid w:val="006344F1"/>
    <w:rsid w:val="00636555"/>
    <w:rsid w:val="0064055F"/>
    <w:rsid w:val="00653039"/>
    <w:rsid w:val="006604FE"/>
    <w:rsid w:val="0066182C"/>
    <w:rsid w:val="00664555"/>
    <w:rsid w:val="006703F7"/>
    <w:rsid w:val="00674B63"/>
    <w:rsid w:val="006767CB"/>
    <w:rsid w:val="00682470"/>
    <w:rsid w:val="00682730"/>
    <w:rsid w:val="00695FBB"/>
    <w:rsid w:val="006A312C"/>
    <w:rsid w:val="006A4CFE"/>
    <w:rsid w:val="006B6E39"/>
    <w:rsid w:val="006C12E5"/>
    <w:rsid w:val="006C2CF8"/>
    <w:rsid w:val="006C4089"/>
    <w:rsid w:val="006C7B42"/>
    <w:rsid w:val="006D0FA9"/>
    <w:rsid w:val="006D2CE4"/>
    <w:rsid w:val="006D2D20"/>
    <w:rsid w:val="006D30D2"/>
    <w:rsid w:val="006E4E22"/>
    <w:rsid w:val="006E5BA4"/>
    <w:rsid w:val="006E711A"/>
    <w:rsid w:val="006E71BB"/>
    <w:rsid w:val="006F0C6A"/>
    <w:rsid w:val="006F67B4"/>
    <w:rsid w:val="007000B7"/>
    <w:rsid w:val="0070570D"/>
    <w:rsid w:val="00707998"/>
    <w:rsid w:val="00712EF0"/>
    <w:rsid w:val="007205F2"/>
    <w:rsid w:val="00720879"/>
    <w:rsid w:val="00720DF3"/>
    <w:rsid w:val="00724133"/>
    <w:rsid w:val="00730845"/>
    <w:rsid w:val="00733030"/>
    <w:rsid w:val="00735D3D"/>
    <w:rsid w:val="007418D1"/>
    <w:rsid w:val="00744CD3"/>
    <w:rsid w:val="00745A56"/>
    <w:rsid w:val="007476E6"/>
    <w:rsid w:val="00750B3E"/>
    <w:rsid w:val="0075274B"/>
    <w:rsid w:val="0075317D"/>
    <w:rsid w:val="00756A47"/>
    <w:rsid w:val="00762A2C"/>
    <w:rsid w:val="00763EC3"/>
    <w:rsid w:val="00772DBB"/>
    <w:rsid w:val="00773C57"/>
    <w:rsid w:val="00781FFD"/>
    <w:rsid w:val="00787A37"/>
    <w:rsid w:val="00796D25"/>
    <w:rsid w:val="00797336"/>
    <w:rsid w:val="00797B8F"/>
    <w:rsid w:val="007A4A4E"/>
    <w:rsid w:val="007A7AE9"/>
    <w:rsid w:val="007B56B7"/>
    <w:rsid w:val="007B72A6"/>
    <w:rsid w:val="007C06A9"/>
    <w:rsid w:val="007C1BA4"/>
    <w:rsid w:val="007C42EB"/>
    <w:rsid w:val="007C6BC6"/>
    <w:rsid w:val="007C6ED9"/>
    <w:rsid w:val="007D255F"/>
    <w:rsid w:val="007D5CCA"/>
    <w:rsid w:val="007D6BBA"/>
    <w:rsid w:val="007E537B"/>
    <w:rsid w:val="007E5BC8"/>
    <w:rsid w:val="007F5CF4"/>
    <w:rsid w:val="008015D8"/>
    <w:rsid w:val="00803616"/>
    <w:rsid w:val="00804293"/>
    <w:rsid w:val="00804E8F"/>
    <w:rsid w:val="00821229"/>
    <w:rsid w:val="008233D1"/>
    <w:rsid w:val="00823C94"/>
    <w:rsid w:val="008271BD"/>
    <w:rsid w:val="008301EB"/>
    <w:rsid w:val="00830505"/>
    <w:rsid w:val="008330FB"/>
    <w:rsid w:val="0083525F"/>
    <w:rsid w:val="00835FD3"/>
    <w:rsid w:val="0084325E"/>
    <w:rsid w:val="00854BAF"/>
    <w:rsid w:val="00855439"/>
    <w:rsid w:val="00867C08"/>
    <w:rsid w:val="0087327A"/>
    <w:rsid w:val="00880543"/>
    <w:rsid w:val="00882D76"/>
    <w:rsid w:val="00885896"/>
    <w:rsid w:val="00885B49"/>
    <w:rsid w:val="008944C5"/>
    <w:rsid w:val="008A2BE3"/>
    <w:rsid w:val="008A37EC"/>
    <w:rsid w:val="008B4565"/>
    <w:rsid w:val="008C7A34"/>
    <w:rsid w:val="008D2F06"/>
    <w:rsid w:val="008D4AD6"/>
    <w:rsid w:val="008D677A"/>
    <w:rsid w:val="008E315E"/>
    <w:rsid w:val="008E4A38"/>
    <w:rsid w:val="008E551A"/>
    <w:rsid w:val="008E7A28"/>
    <w:rsid w:val="008F10B7"/>
    <w:rsid w:val="008F2925"/>
    <w:rsid w:val="008F488C"/>
    <w:rsid w:val="008F6602"/>
    <w:rsid w:val="00902AE0"/>
    <w:rsid w:val="009049E1"/>
    <w:rsid w:val="009054D0"/>
    <w:rsid w:val="00910FA5"/>
    <w:rsid w:val="00913F6B"/>
    <w:rsid w:val="00917259"/>
    <w:rsid w:val="00922587"/>
    <w:rsid w:val="00933E4F"/>
    <w:rsid w:val="009374ED"/>
    <w:rsid w:val="0094132D"/>
    <w:rsid w:val="00942E65"/>
    <w:rsid w:val="00943299"/>
    <w:rsid w:val="0094729F"/>
    <w:rsid w:val="00951A80"/>
    <w:rsid w:val="00952194"/>
    <w:rsid w:val="009679FF"/>
    <w:rsid w:val="009704FE"/>
    <w:rsid w:val="00982A95"/>
    <w:rsid w:val="0098354B"/>
    <w:rsid w:val="00987706"/>
    <w:rsid w:val="00993E3B"/>
    <w:rsid w:val="00997337"/>
    <w:rsid w:val="009A05CF"/>
    <w:rsid w:val="009A21D7"/>
    <w:rsid w:val="009A3A25"/>
    <w:rsid w:val="009C46A8"/>
    <w:rsid w:val="009C4F36"/>
    <w:rsid w:val="009C7F3A"/>
    <w:rsid w:val="009E25CD"/>
    <w:rsid w:val="009E2B66"/>
    <w:rsid w:val="009E4F3A"/>
    <w:rsid w:val="009F1C49"/>
    <w:rsid w:val="009F2812"/>
    <w:rsid w:val="009F28F9"/>
    <w:rsid w:val="009F44E9"/>
    <w:rsid w:val="009F49A9"/>
    <w:rsid w:val="009F6AD7"/>
    <w:rsid w:val="00A00E3E"/>
    <w:rsid w:val="00A03248"/>
    <w:rsid w:val="00A04ADD"/>
    <w:rsid w:val="00A21982"/>
    <w:rsid w:val="00A221AC"/>
    <w:rsid w:val="00A224AC"/>
    <w:rsid w:val="00A24B47"/>
    <w:rsid w:val="00A26B4B"/>
    <w:rsid w:val="00A31D35"/>
    <w:rsid w:val="00A32EC2"/>
    <w:rsid w:val="00A402CB"/>
    <w:rsid w:val="00A560B9"/>
    <w:rsid w:val="00A5703D"/>
    <w:rsid w:val="00A57AC8"/>
    <w:rsid w:val="00A57DCF"/>
    <w:rsid w:val="00A66049"/>
    <w:rsid w:val="00A70EA4"/>
    <w:rsid w:val="00A764A3"/>
    <w:rsid w:val="00A8059F"/>
    <w:rsid w:val="00A8115F"/>
    <w:rsid w:val="00A85324"/>
    <w:rsid w:val="00A9670B"/>
    <w:rsid w:val="00AA2092"/>
    <w:rsid w:val="00AA558D"/>
    <w:rsid w:val="00AA68EC"/>
    <w:rsid w:val="00AA700B"/>
    <w:rsid w:val="00AB0AB7"/>
    <w:rsid w:val="00AB0F7B"/>
    <w:rsid w:val="00AB1316"/>
    <w:rsid w:val="00AB3122"/>
    <w:rsid w:val="00AB71FB"/>
    <w:rsid w:val="00AC266D"/>
    <w:rsid w:val="00AC65E0"/>
    <w:rsid w:val="00AC7B65"/>
    <w:rsid w:val="00AD130D"/>
    <w:rsid w:val="00AD32B5"/>
    <w:rsid w:val="00AD50FD"/>
    <w:rsid w:val="00AD7CAD"/>
    <w:rsid w:val="00AE0B63"/>
    <w:rsid w:val="00AE1651"/>
    <w:rsid w:val="00AE389F"/>
    <w:rsid w:val="00AF4BD6"/>
    <w:rsid w:val="00B00928"/>
    <w:rsid w:val="00B051EC"/>
    <w:rsid w:val="00B0609B"/>
    <w:rsid w:val="00B06782"/>
    <w:rsid w:val="00B06AF8"/>
    <w:rsid w:val="00B07E51"/>
    <w:rsid w:val="00B11BC6"/>
    <w:rsid w:val="00B12A0E"/>
    <w:rsid w:val="00B2057B"/>
    <w:rsid w:val="00B31C7F"/>
    <w:rsid w:val="00B35ADF"/>
    <w:rsid w:val="00B44465"/>
    <w:rsid w:val="00B45A0A"/>
    <w:rsid w:val="00B640A5"/>
    <w:rsid w:val="00B64C8C"/>
    <w:rsid w:val="00B6565F"/>
    <w:rsid w:val="00B75F1D"/>
    <w:rsid w:val="00B85CEC"/>
    <w:rsid w:val="00B95BC4"/>
    <w:rsid w:val="00BA0C99"/>
    <w:rsid w:val="00BA13C5"/>
    <w:rsid w:val="00BA3D4C"/>
    <w:rsid w:val="00BB5AD8"/>
    <w:rsid w:val="00BB7196"/>
    <w:rsid w:val="00BB7782"/>
    <w:rsid w:val="00BC08D3"/>
    <w:rsid w:val="00BC6A66"/>
    <w:rsid w:val="00BD02FA"/>
    <w:rsid w:val="00BD2793"/>
    <w:rsid w:val="00BD3CF9"/>
    <w:rsid w:val="00BD5C25"/>
    <w:rsid w:val="00BE03B0"/>
    <w:rsid w:val="00BE2F4C"/>
    <w:rsid w:val="00BE3416"/>
    <w:rsid w:val="00BE6CDA"/>
    <w:rsid w:val="00BE6CE0"/>
    <w:rsid w:val="00BE7184"/>
    <w:rsid w:val="00BF3418"/>
    <w:rsid w:val="00BF7B71"/>
    <w:rsid w:val="00C03604"/>
    <w:rsid w:val="00C03CAF"/>
    <w:rsid w:val="00C07F1E"/>
    <w:rsid w:val="00C127C6"/>
    <w:rsid w:val="00C242AD"/>
    <w:rsid w:val="00C2653C"/>
    <w:rsid w:val="00C27B38"/>
    <w:rsid w:val="00C33AC4"/>
    <w:rsid w:val="00C34606"/>
    <w:rsid w:val="00C428CA"/>
    <w:rsid w:val="00C462F6"/>
    <w:rsid w:val="00C52AD9"/>
    <w:rsid w:val="00C5638A"/>
    <w:rsid w:val="00C61514"/>
    <w:rsid w:val="00C62118"/>
    <w:rsid w:val="00C7772B"/>
    <w:rsid w:val="00C77AA1"/>
    <w:rsid w:val="00C838B1"/>
    <w:rsid w:val="00C8779B"/>
    <w:rsid w:val="00C97C61"/>
    <w:rsid w:val="00CA1163"/>
    <w:rsid w:val="00CA3A2F"/>
    <w:rsid w:val="00CB0D3E"/>
    <w:rsid w:val="00CB38AD"/>
    <w:rsid w:val="00CB3BDD"/>
    <w:rsid w:val="00CB62E0"/>
    <w:rsid w:val="00CB73DB"/>
    <w:rsid w:val="00CC1C47"/>
    <w:rsid w:val="00CC5921"/>
    <w:rsid w:val="00CC6A3D"/>
    <w:rsid w:val="00CD076F"/>
    <w:rsid w:val="00CD3239"/>
    <w:rsid w:val="00CD329F"/>
    <w:rsid w:val="00CD507B"/>
    <w:rsid w:val="00CE0B7E"/>
    <w:rsid w:val="00CE2FE6"/>
    <w:rsid w:val="00CE44F9"/>
    <w:rsid w:val="00CE491F"/>
    <w:rsid w:val="00CE7A27"/>
    <w:rsid w:val="00CF1728"/>
    <w:rsid w:val="00CF17E4"/>
    <w:rsid w:val="00D0061A"/>
    <w:rsid w:val="00D153D4"/>
    <w:rsid w:val="00D17C56"/>
    <w:rsid w:val="00D21CCF"/>
    <w:rsid w:val="00D25805"/>
    <w:rsid w:val="00D32E53"/>
    <w:rsid w:val="00D33531"/>
    <w:rsid w:val="00D36847"/>
    <w:rsid w:val="00D41C68"/>
    <w:rsid w:val="00D468CA"/>
    <w:rsid w:val="00D571BA"/>
    <w:rsid w:val="00D57EE2"/>
    <w:rsid w:val="00D63487"/>
    <w:rsid w:val="00D67EB9"/>
    <w:rsid w:val="00D71064"/>
    <w:rsid w:val="00D7253A"/>
    <w:rsid w:val="00D7453A"/>
    <w:rsid w:val="00D75904"/>
    <w:rsid w:val="00D77285"/>
    <w:rsid w:val="00D8209F"/>
    <w:rsid w:val="00D87BCF"/>
    <w:rsid w:val="00D94624"/>
    <w:rsid w:val="00DA1EEA"/>
    <w:rsid w:val="00DA382F"/>
    <w:rsid w:val="00DA6F79"/>
    <w:rsid w:val="00DB0C12"/>
    <w:rsid w:val="00DB0CAB"/>
    <w:rsid w:val="00DB248C"/>
    <w:rsid w:val="00DB6E84"/>
    <w:rsid w:val="00DC39B4"/>
    <w:rsid w:val="00DC4353"/>
    <w:rsid w:val="00DD10C3"/>
    <w:rsid w:val="00DD52D5"/>
    <w:rsid w:val="00DE06A9"/>
    <w:rsid w:val="00DF183C"/>
    <w:rsid w:val="00DF1A32"/>
    <w:rsid w:val="00DF6CAE"/>
    <w:rsid w:val="00E02076"/>
    <w:rsid w:val="00E0469F"/>
    <w:rsid w:val="00E0529B"/>
    <w:rsid w:val="00E05A06"/>
    <w:rsid w:val="00E11691"/>
    <w:rsid w:val="00E11F4F"/>
    <w:rsid w:val="00E1406D"/>
    <w:rsid w:val="00E1494A"/>
    <w:rsid w:val="00E21087"/>
    <w:rsid w:val="00E214DC"/>
    <w:rsid w:val="00E22F59"/>
    <w:rsid w:val="00E27F02"/>
    <w:rsid w:val="00E31F52"/>
    <w:rsid w:val="00E3381B"/>
    <w:rsid w:val="00E36B2C"/>
    <w:rsid w:val="00E450D6"/>
    <w:rsid w:val="00E45988"/>
    <w:rsid w:val="00E46E1B"/>
    <w:rsid w:val="00E55C96"/>
    <w:rsid w:val="00E55EB3"/>
    <w:rsid w:val="00E567E3"/>
    <w:rsid w:val="00E5761E"/>
    <w:rsid w:val="00E57F0F"/>
    <w:rsid w:val="00E61CBE"/>
    <w:rsid w:val="00E62DB9"/>
    <w:rsid w:val="00E77C5D"/>
    <w:rsid w:val="00E80EBB"/>
    <w:rsid w:val="00E86A4B"/>
    <w:rsid w:val="00E910A2"/>
    <w:rsid w:val="00E944C8"/>
    <w:rsid w:val="00EA24EA"/>
    <w:rsid w:val="00EA2868"/>
    <w:rsid w:val="00EA39FF"/>
    <w:rsid w:val="00EA56CA"/>
    <w:rsid w:val="00EA6A50"/>
    <w:rsid w:val="00EB29FB"/>
    <w:rsid w:val="00EB3D02"/>
    <w:rsid w:val="00EC08C3"/>
    <w:rsid w:val="00ED3F7F"/>
    <w:rsid w:val="00EE636D"/>
    <w:rsid w:val="00EF5B8D"/>
    <w:rsid w:val="00F00585"/>
    <w:rsid w:val="00F05A96"/>
    <w:rsid w:val="00F13BD0"/>
    <w:rsid w:val="00F24E19"/>
    <w:rsid w:val="00F255AD"/>
    <w:rsid w:val="00F26414"/>
    <w:rsid w:val="00F26A94"/>
    <w:rsid w:val="00F36B8D"/>
    <w:rsid w:val="00F40E61"/>
    <w:rsid w:val="00F41DC4"/>
    <w:rsid w:val="00F44FDB"/>
    <w:rsid w:val="00F55643"/>
    <w:rsid w:val="00F619E1"/>
    <w:rsid w:val="00F62CFE"/>
    <w:rsid w:val="00F7077B"/>
    <w:rsid w:val="00F73822"/>
    <w:rsid w:val="00F8512B"/>
    <w:rsid w:val="00F86598"/>
    <w:rsid w:val="00F9416D"/>
    <w:rsid w:val="00F95959"/>
    <w:rsid w:val="00FA657D"/>
    <w:rsid w:val="00FB49B3"/>
    <w:rsid w:val="00FB6B68"/>
    <w:rsid w:val="00FB6BDF"/>
    <w:rsid w:val="00FB7C74"/>
    <w:rsid w:val="00FC06EC"/>
    <w:rsid w:val="00FC4BA1"/>
    <w:rsid w:val="00FC6E02"/>
    <w:rsid w:val="00FD15F1"/>
    <w:rsid w:val="00FD559E"/>
    <w:rsid w:val="00FE081E"/>
    <w:rsid w:val="00FF1A54"/>
    <w:rsid w:val="00FF633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256748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Cambria" w:hAnsi="Arial" w:cs="Times New Roman"/>
        <w:lang w:val="en-US" w:eastAsia="en-US" w:bidi="ar-SA"/>
      </w:rPr>
    </w:rPrDefault>
    <w:pPrDefault/>
  </w:docDefaults>
  <w:latentStyles w:defLockedState="1" w:defUIPriority="0" w:defSemiHidden="0" w:defUnhideWhenUsed="0" w:defQFormat="0" w:count="267">
    <w:lsdException w:name="Normal" w:locked="0"/>
    <w:lsdException w:name="heading 1" w:qFormat="1"/>
    <w:lsdException w:name="heading 2" w:locked="0"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note text" w:locked="0" w:uiPriority="99"/>
    <w:lsdException w:name="annotation text" w:uiPriority="99"/>
    <w:lsdException w:name="footer" w:locked="0" w:uiPriority="99"/>
    <w:lsdException w:name="caption" w:locked="0" w:qFormat="1"/>
    <w:lsdException w:name="footnote reference" w:locked="0" w:uiPriority="99"/>
    <w:lsdException w:name="annotation reference" w:locked="0" w:uiPriority="99"/>
    <w:lsdException w:name="page number" w:locked="0"/>
    <w:lsdException w:name="endnote reference" w:uiPriority="99"/>
    <w:lsdException w:name="endnote text" w:uiPriority="99"/>
    <w:lsdException w:name="Title" w:uiPriority="10" w:qFormat="1"/>
    <w:lsdException w:name="Default Paragraph Font" w:locked="0"/>
    <w:lsdException w:name="Subtitle" w:uiPriority="11" w:qFormat="1"/>
    <w:lsdException w:name="Hyperlink" w:uiPriority="99"/>
    <w:lsdException w:name="FollowedHyperlink" w:uiPriority="99"/>
    <w:lsdException w:name="Strong" w:uiPriority="22" w:qFormat="1"/>
    <w:lsdException w:name="Emphasis" w:uiPriority="20" w:qFormat="1"/>
    <w:lsdException w:name="Plain Text" w:uiPriority="99"/>
    <w:lsdException w:name="HTML Top of Form" w:locked="0"/>
    <w:lsdException w:name="HTML Bottom of Form" w:locked="0"/>
    <w:lsdException w:name="HTML Acronym" w:uiPriority="99"/>
    <w:lsdException w:name="Normal Table" w:locked="0"/>
    <w:lsdException w:name="annotation subject" w:uiPriority="99"/>
    <w:lsdException w:name="No List" w:locked="0"/>
    <w:lsdException w:name="Balloon Text" w:locked="0"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rsid w:val="00583C10"/>
    <w:pPr>
      <w:tabs>
        <w:tab w:val="left" w:pos="720"/>
        <w:tab w:val="left" w:pos="1440"/>
        <w:tab w:val="left" w:pos="2160"/>
        <w:tab w:val="left" w:pos="2880"/>
        <w:tab w:val="left" w:pos="4680"/>
        <w:tab w:val="left" w:pos="5400"/>
        <w:tab w:val="right" w:pos="9000"/>
      </w:tabs>
      <w:spacing w:line="240" w:lineRule="atLeast"/>
    </w:pPr>
    <w:rPr>
      <w:sz w:val="26"/>
      <w:lang w:val="en-GB"/>
    </w:rPr>
  </w:style>
  <w:style w:type="paragraph" w:styleId="Heading1">
    <w:name w:val="heading 1"/>
    <w:aliases w:val="Outline1"/>
    <w:next w:val="Normal"/>
    <w:link w:val="Heading1Char"/>
    <w:qFormat/>
    <w:rsid w:val="0066182C"/>
    <w:pPr>
      <w:spacing w:after="120" w:line="640" w:lineRule="exact"/>
      <w:outlineLvl w:val="0"/>
    </w:pPr>
    <w:rPr>
      <w:rFonts w:eastAsia="Times New Roman"/>
      <w:b/>
      <w:sz w:val="44"/>
    </w:rPr>
  </w:style>
  <w:style w:type="paragraph" w:styleId="Heading2">
    <w:name w:val="heading 2"/>
    <w:aliases w:val="Outline2"/>
    <w:next w:val="SGBodytext"/>
    <w:link w:val="Heading2Char"/>
    <w:unhideWhenUsed/>
    <w:qFormat/>
    <w:rsid w:val="006C2CF8"/>
    <w:pPr>
      <w:keepNext/>
      <w:spacing w:before="180" w:after="120" w:line="400" w:lineRule="exact"/>
      <w:outlineLvl w:val="1"/>
    </w:pPr>
    <w:rPr>
      <w:rFonts w:eastAsia="Times New Roman"/>
      <w:b/>
      <w:sz w:val="30"/>
      <w:lang w:val="en-GB"/>
    </w:rPr>
  </w:style>
  <w:style w:type="paragraph" w:styleId="Heading3">
    <w:name w:val="heading 3"/>
    <w:aliases w:val="Outline3"/>
    <w:next w:val="SGBodytext"/>
    <w:link w:val="Heading3Char"/>
    <w:unhideWhenUsed/>
    <w:qFormat/>
    <w:rsid w:val="00AA2092"/>
    <w:pPr>
      <w:spacing w:before="180" w:after="120" w:line="300" w:lineRule="exact"/>
      <w:outlineLvl w:val="2"/>
    </w:pPr>
    <w:rPr>
      <w:rFonts w:eastAsia="Times New Roman"/>
      <w:b/>
      <w:sz w:val="26"/>
      <w:lang w:val="en-GB"/>
    </w:rPr>
  </w:style>
  <w:style w:type="paragraph" w:styleId="Heading4">
    <w:name w:val="heading 4"/>
    <w:basedOn w:val="Normal"/>
    <w:next w:val="Normal"/>
    <w:link w:val="Heading4Char"/>
    <w:semiHidden/>
    <w:unhideWhenUsed/>
    <w:qFormat/>
    <w:locked/>
    <w:rsid w:val="009A21D7"/>
    <w:pPr>
      <w:keepNext/>
      <w:keepLines/>
      <w:spacing w:before="200"/>
      <w:outlineLvl w:val="3"/>
    </w:pPr>
    <w:rPr>
      <w:rFonts w:eastAsiaTheme="majorEastAsia" w:cstheme="majorBidi"/>
      <w:b/>
      <w:bCs/>
      <w:i/>
      <w:iCs/>
    </w:rPr>
  </w:style>
  <w:style w:type="paragraph" w:styleId="Heading5">
    <w:name w:val="heading 5"/>
    <w:basedOn w:val="Normal"/>
    <w:next w:val="Normal"/>
    <w:link w:val="Heading5Char"/>
    <w:semiHidden/>
    <w:unhideWhenUsed/>
    <w:qFormat/>
    <w:locked/>
    <w:rsid w:val="009A21D7"/>
    <w:pPr>
      <w:keepNext/>
      <w:keepLines/>
      <w:spacing w:before="200"/>
      <w:outlineLvl w:val="4"/>
    </w:pPr>
    <w:rPr>
      <w:rFonts w:eastAsiaTheme="majorEastAsia" w:cstheme="majorBidi"/>
      <w:color w:val="000000" w:themeColor="text1"/>
    </w:rPr>
  </w:style>
  <w:style w:type="paragraph" w:styleId="Heading6">
    <w:name w:val="heading 6"/>
    <w:basedOn w:val="Normal"/>
    <w:next w:val="Normal"/>
    <w:link w:val="Heading6Char"/>
    <w:semiHidden/>
    <w:unhideWhenUsed/>
    <w:qFormat/>
    <w:locked/>
    <w:rsid w:val="009A21D7"/>
    <w:pPr>
      <w:keepNext/>
      <w:keepLines/>
      <w:spacing w:before="200"/>
      <w:outlineLvl w:val="5"/>
    </w:pPr>
    <w:rPr>
      <w:rFonts w:eastAsiaTheme="majorEastAsia" w:cstheme="majorBidi"/>
      <w:i/>
      <w:iCs/>
      <w:color w:val="000000" w:themeColor="text1"/>
    </w:rPr>
  </w:style>
  <w:style w:type="paragraph" w:styleId="Heading7">
    <w:name w:val="heading 7"/>
    <w:basedOn w:val="Normal"/>
    <w:next w:val="Normal"/>
    <w:link w:val="Heading7Char"/>
    <w:semiHidden/>
    <w:unhideWhenUsed/>
    <w:qFormat/>
    <w:locked/>
    <w:rsid w:val="009A21D7"/>
    <w:pPr>
      <w:keepNext/>
      <w:keepLines/>
      <w:spacing w:before="200"/>
      <w:outlineLvl w:val="6"/>
    </w:pPr>
    <w:rPr>
      <w:rFonts w:eastAsiaTheme="majorEastAsia" w:cstheme="majorBidi"/>
      <w:i/>
      <w:iCs/>
      <w:color w:val="000000" w:themeColor="text1"/>
    </w:rPr>
  </w:style>
  <w:style w:type="paragraph" w:styleId="Heading8">
    <w:name w:val="heading 8"/>
    <w:basedOn w:val="Normal"/>
    <w:next w:val="Normal"/>
    <w:link w:val="Heading8Char"/>
    <w:semiHidden/>
    <w:unhideWhenUsed/>
    <w:qFormat/>
    <w:locked/>
    <w:rsid w:val="009A21D7"/>
    <w:pPr>
      <w:keepNext/>
      <w:keepLines/>
      <w:spacing w:before="200"/>
      <w:outlineLvl w:val="7"/>
    </w:pPr>
    <w:rPr>
      <w:rFonts w:eastAsiaTheme="majorEastAsia" w:cstheme="majorBidi"/>
      <w:color w:val="000000" w:themeColor="text1"/>
    </w:rPr>
  </w:style>
  <w:style w:type="paragraph" w:styleId="Heading9">
    <w:name w:val="heading 9"/>
    <w:basedOn w:val="Normal"/>
    <w:next w:val="Normal"/>
    <w:link w:val="Heading9Char"/>
    <w:semiHidden/>
    <w:unhideWhenUsed/>
    <w:qFormat/>
    <w:locked/>
    <w:rsid w:val="009A21D7"/>
    <w:pPr>
      <w:keepNext/>
      <w:keepLines/>
      <w:spacing w:before="200"/>
      <w:outlineLvl w:val="8"/>
    </w:pPr>
    <w:rPr>
      <w:rFonts w:eastAsiaTheme="majorEastAsia" w:cstheme="majorBidi"/>
      <w:i/>
      <w:iCs/>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link w:val="FootnoteTextChar"/>
    <w:uiPriority w:val="99"/>
    <w:unhideWhenUsed/>
    <w:rsid w:val="00AA68EC"/>
    <w:pPr>
      <w:spacing w:after="100" w:line="240" w:lineRule="exact"/>
    </w:pPr>
    <w:rPr>
      <w:rFonts w:eastAsia="Calibri"/>
      <w:sz w:val="22"/>
    </w:rPr>
  </w:style>
  <w:style w:type="character" w:customStyle="1" w:styleId="CharChar3">
    <w:name w:val="Char Char3"/>
    <w:semiHidden/>
    <w:locked/>
    <w:rsid w:val="00CD329F"/>
    <w:rPr>
      <w:rFonts w:ascii="Arial" w:hAnsi="Arial"/>
      <w:sz w:val="24"/>
      <w:szCs w:val="24"/>
    </w:rPr>
  </w:style>
  <w:style w:type="character" w:styleId="FootnoteReference">
    <w:name w:val="footnote reference"/>
    <w:uiPriority w:val="99"/>
    <w:semiHidden/>
    <w:unhideWhenUsed/>
    <w:rsid w:val="00AA68EC"/>
    <w:rPr>
      <w:rFonts w:ascii="Arial" w:hAnsi="Arial"/>
      <w:sz w:val="26"/>
      <w:vertAlign w:val="superscript"/>
    </w:rPr>
  </w:style>
  <w:style w:type="paragraph" w:styleId="Caption">
    <w:name w:val="caption"/>
    <w:basedOn w:val="Normal"/>
    <w:next w:val="Normal"/>
    <w:qFormat/>
    <w:locked/>
    <w:rsid w:val="00073B83"/>
    <w:pPr>
      <w:spacing w:before="120" w:after="120" w:line="276" w:lineRule="auto"/>
    </w:pPr>
    <w:rPr>
      <w:rFonts w:eastAsia="Calibri"/>
      <w:b/>
      <w:sz w:val="22"/>
    </w:rPr>
  </w:style>
  <w:style w:type="character" w:styleId="CommentReference">
    <w:name w:val="annotation reference"/>
    <w:uiPriority w:val="99"/>
    <w:semiHidden/>
    <w:locked/>
    <w:rsid w:val="00073B83"/>
    <w:rPr>
      <w:rFonts w:ascii="Arial" w:hAnsi="Arial"/>
      <w:sz w:val="16"/>
      <w:szCs w:val="16"/>
    </w:rPr>
  </w:style>
  <w:style w:type="character" w:customStyle="1" w:styleId="CharChar2">
    <w:name w:val="Char Char2"/>
    <w:semiHidden/>
    <w:locked/>
    <w:rsid w:val="00CD329F"/>
    <w:rPr>
      <w:rFonts w:ascii="Arial" w:hAnsi="Arial"/>
    </w:rPr>
  </w:style>
  <w:style w:type="paragraph" w:styleId="BalloonText">
    <w:name w:val="Balloon Text"/>
    <w:basedOn w:val="Normal"/>
    <w:link w:val="BalloonTextChar"/>
    <w:uiPriority w:val="99"/>
    <w:locked/>
    <w:rsid w:val="00073B83"/>
    <w:rPr>
      <w:sz w:val="18"/>
    </w:rPr>
  </w:style>
  <w:style w:type="paragraph" w:styleId="Footer">
    <w:name w:val="footer"/>
    <w:basedOn w:val="Normal"/>
    <w:link w:val="FooterChar"/>
    <w:uiPriority w:val="99"/>
    <w:rsid w:val="00080500"/>
    <w:pPr>
      <w:tabs>
        <w:tab w:val="center" w:pos="4153"/>
        <w:tab w:val="right" w:pos="8306"/>
      </w:tabs>
      <w:jc w:val="center"/>
    </w:pPr>
    <w:rPr>
      <w:sz w:val="24"/>
      <w:szCs w:val="24"/>
    </w:rPr>
  </w:style>
  <w:style w:type="character" w:styleId="PageNumber">
    <w:name w:val="page number"/>
    <w:locked/>
    <w:rsid w:val="00073B83"/>
    <w:rPr>
      <w:rFonts w:ascii="Arial" w:hAnsi="Arial"/>
    </w:rPr>
  </w:style>
  <w:style w:type="paragraph" w:customStyle="1" w:styleId="SGBodytext">
    <w:name w:val="SG Body text"/>
    <w:autoRedefine/>
    <w:qFormat/>
    <w:rsid w:val="00402D02"/>
    <w:pPr>
      <w:spacing w:after="240" w:line="300" w:lineRule="exact"/>
    </w:pPr>
    <w:rPr>
      <w:rFonts w:eastAsia="Times New Roman" w:cs="Arial"/>
      <w:noProof/>
      <w:sz w:val="24"/>
      <w:szCs w:val="24"/>
      <w:lang w:val="en-GB" w:eastAsia="en-GB"/>
    </w:rPr>
  </w:style>
  <w:style w:type="paragraph" w:customStyle="1" w:styleId="SGNumbered">
    <w:name w:val="SG Numbered"/>
    <w:autoRedefine/>
    <w:qFormat/>
    <w:rsid w:val="00AA68EC"/>
    <w:pPr>
      <w:numPr>
        <w:numId w:val="3"/>
      </w:numPr>
      <w:spacing w:after="240" w:line="300" w:lineRule="exact"/>
      <w:ind w:left="714" w:hanging="357"/>
    </w:pPr>
    <w:rPr>
      <w:rFonts w:eastAsia="Times New Roman"/>
      <w:sz w:val="26"/>
      <w:lang w:val="en-GB"/>
    </w:rPr>
  </w:style>
  <w:style w:type="paragraph" w:customStyle="1" w:styleId="SGBullet">
    <w:name w:val="SG Bullet"/>
    <w:autoRedefine/>
    <w:qFormat/>
    <w:rsid w:val="006F0C6A"/>
    <w:pPr>
      <w:numPr>
        <w:numId w:val="2"/>
      </w:numPr>
      <w:spacing w:after="120" w:line="300" w:lineRule="exact"/>
      <w:ind w:left="636" w:hanging="318"/>
    </w:pPr>
    <w:rPr>
      <w:rFonts w:eastAsia="Times New Roman"/>
      <w:sz w:val="26"/>
      <w:lang w:val="en-GB"/>
    </w:rPr>
  </w:style>
  <w:style w:type="table" w:styleId="Table3Deffects2">
    <w:name w:val="Table 3D effects 2"/>
    <w:basedOn w:val="TableNormal"/>
    <w:locked/>
    <w:rsid w:val="004009E7"/>
    <w:pPr>
      <w:tabs>
        <w:tab w:val="left" w:pos="720"/>
        <w:tab w:val="left" w:pos="1440"/>
        <w:tab w:val="left" w:pos="2160"/>
        <w:tab w:val="left" w:pos="2880"/>
        <w:tab w:val="left" w:pos="4680"/>
        <w:tab w:val="left" w:pos="5400"/>
        <w:tab w:val="right" w:pos="9000"/>
      </w:tabs>
      <w:spacing w:line="240" w:lineRule="atLeast"/>
      <w:jc w:val="both"/>
    </w:p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1">
    <w:name w:val="Table 3D effects 1"/>
    <w:basedOn w:val="TableNormal"/>
    <w:locked/>
    <w:rsid w:val="004009E7"/>
    <w:pPr>
      <w:tabs>
        <w:tab w:val="left" w:pos="720"/>
        <w:tab w:val="left" w:pos="1440"/>
        <w:tab w:val="left" w:pos="2160"/>
        <w:tab w:val="left" w:pos="2880"/>
        <w:tab w:val="left" w:pos="4680"/>
        <w:tab w:val="left" w:pos="5400"/>
        <w:tab w:val="right" w:pos="9000"/>
      </w:tabs>
      <w:spacing w:line="240" w:lineRule="atLeast"/>
      <w:jc w:val="both"/>
    </w:p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paragraph" w:customStyle="1" w:styleId="ExecSummaryBodyText">
    <w:name w:val="Exec Summary Body Text"/>
    <w:basedOn w:val="Normal"/>
    <w:semiHidden/>
    <w:locked/>
    <w:rsid w:val="00CD329F"/>
    <w:pPr>
      <w:numPr>
        <w:numId w:val="1"/>
      </w:numPr>
      <w:spacing w:after="240"/>
    </w:pPr>
  </w:style>
  <w:style w:type="character" w:styleId="Hyperlink">
    <w:name w:val="Hyperlink"/>
    <w:basedOn w:val="DefaultParagraphFont"/>
    <w:uiPriority w:val="99"/>
    <w:rsid w:val="00E5761E"/>
    <w:rPr>
      <w:rFonts w:ascii="Arial" w:hAnsi="Arial"/>
      <w:color w:val="0000FF" w:themeColor="hyperlink"/>
      <w:u w:val="single"/>
    </w:rPr>
  </w:style>
  <w:style w:type="table" w:styleId="TableGrid">
    <w:name w:val="Table Grid"/>
    <w:aliases w:val="SG Table 1"/>
    <w:basedOn w:val="TableNormal"/>
    <w:rsid w:val="00BE7184"/>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142" w:type="dxa"/>
        <w:left w:w="142" w:type="dxa"/>
        <w:bottom w:w="142" w:type="dxa"/>
        <w:right w:w="142" w:type="dxa"/>
      </w:tblCellMar>
    </w:tblPr>
  </w:style>
  <w:style w:type="paragraph" w:styleId="Header">
    <w:name w:val="header"/>
    <w:basedOn w:val="Normal"/>
    <w:link w:val="HeaderChar"/>
    <w:rsid w:val="00E5761E"/>
    <w:pPr>
      <w:tabs>
        <w:tab w:val="clear" w:pos="720"/>
        <w:tab w:val="clear" w:pos="1440"/>
        <w:tab w:val="clear" w:pos="2160"/>
        <w:tab w:val="clear" w:pos="2880"/>
        <w:tab w:val="clear" w:pos="4680"/>
        <w:tab w:val="clear" w:pos="5400"/>
        <w:tab w:val="clear" w:pos="9000"/>
        <w:tab w:val="center" w:pos="4513"/>
        <w:tab w:val="right" w:pos="9026"/>
      </w:tabs>
      <w:spacing w:line="240" w:lineRule="auto"/>
    </w:pPr>
  </w:style>
  <w:style w:type="character" w:customStyle="1" w:styleId="SGBoldCharacter">
    <w:name w:val="SG Bold (Character)"/>
    <w:basedOn w:val="DefaultParagraphFont"/>
    <w:uiPriority w:val="1"/>
    <w:qFormat/>
    <w:rsid w:val="00CB3BDD"/>
    <w:rPr>
      <w:rFonts w:ascii="Arial" w:hAnsi="Arial"/>
      <w:b/>
    </w:rPr>
  </w:style>
  <w:style w:type="character" w:customStyle="1" w:styleId="SGItalicCharacter">
    <w:name w:val="SG Italic (Character)"/>
    <w:uiPriority w:val="1"/>
    <w:qFormat/>
    <w:rsid w:val="004A1C5D"/>
    <w:rPr>
      <w:rFonts w:ascii="Arial" w:hAnsi="Arial"/>
      <w:b w:val="0"/>
      <w:i/>
    </w:rPr>
  </w:style>
  <w:style w:type="character" w:customStyle="1" w:styleId="SGBoldItalicCharacter">
    <w:name w:val="SG Bold Italic (Character)"/>
    <w:basedOn w:val="SGItalicCharacter"/>
    <w:uiPriority w:val="1"/>
    <w:qFormat/>
    <w:rsid w:val="004A1C5D"/>
    <w:rPr>
      <w:rFonts w:ascii="Arial" w:hAnsi="Arial"/>
      <w:b/>
      <w:i/>
    </w:rPr>
  </w:style>
  <w:style w:type="character" w:customStyle="1" w:styleId="HeaderChar">
    <w:name w:val="Header Char"/>
    <w:basedOn w:val="DefaultParagraphFont"/>
    <w:link w:val="Header"/>
    <w:rsid w:val="00E5761E"/>
    <w:rPr>
      <w:rFonts w:ascii="Arial" w:eastAsia="Times New Roman" w:hAnsi="Arial"/>
      <w:sz w:val="24"/>
      <w:lang w:val="en-GB"/>
    </w:rPr>
  </w:style>
  <w:style w:type="paragraph" w:customStyle="1" w:styleId="SGBodyIndent">
    <w:name w:val="SG Body Indent"/>
    <w:qFormat/>
    <w:rsid w:val="00AA68EC"/>
    <w:pPr>
      <w:spacing w:after="300" w:line="300" w:lineRule="exact"/>
      <w:ind w:left="284"/>
    </w:pPr>
    <w:rPr>
      <w:rFonts w:eastAsia="Times New Roman"/>
      <w:sz w:val="26"/>
      <w:lang w:val="en-GB"/>
    </w:rPr>
  </w:style>
  <w:style w:type="paragraph" w:styleId="NormalWeb">
    <w:name w:val="Normal (Web)"/>
    <w:basedOn w:val="Normal"/>
    <w:locked/>
    <w:rsid w:val="00E5761E"/>
    <w:rPr>
      <w:szCs w:val="24"/>
    </w:rPr>
  </w:style>
  <w:style w:type="table" w:customStyle="1" w:styleId="SGTable2">
    <w:name w:val="SG Table 2"/>
    <w:basedOn w:val="TableNormal"/>
    <w:uiPriority w:val="99"/>
    <w:qFormat/>
    <w:rsid w:val="00BE7184"/>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142" w:type="dxa"/>
        <w:left w:w="142" w:type="dxa"/>
        <w:bottom w:w="142" w:type="dxa"/>
        <w:right w:w="142" w:type="dxa"/>
      </w:tblCellMar>
    </w:tblPr>
    <w:tcPr>
      <w:shd w:val="clear" w:color="auto" w:fill="BFBFBF" w:themeFill="background1" w:themeFillShade="BF"/>
    </w:tcPr>
    <w:tblStylePr w:type="firstRow">
      <w:rPr>
        <w:color w:val="000000" w:themeColor="text1"/>
      </w:rPr>
      <w:tblPr/>
      <w:tcPr>
        <w:shd w:val="clear" w:color="auto" w:fill="A6A6A6" w:themeFill="background1" w:themeFillShade="A6"/>
      </w:tcPr>
    </w:tblStylePr>
    <w:tblStylePr w:type="lastRow">
      <w:tblPr/>
      <w:tcPr>
        <w:shd w:val="clear" w:color="auto" w:fill="BFBFBF" w:themeFill="background1" w:themeFillShade="BF"/>
      </w:tcPr>
    </w:tblStylePr>
    <w:tblStylePr w:type="firstCol">
      <w:tblPr/>
      <w:tcPr>
        <w:shd w:val="clear" w:color="auto" w:fill="BFBFBF" w:themeFill="background1" w:themeFillShade="BF"/>
      </w:tcPr>
    </w:tblStylePr>
    <w:tblStylePr w:type="lastCol">
      <w:rPr>
        <w:rFonts w:ascii="Arial" w:hAnsi="Arial"/>
        <w:sz w:val="20"/>
      </w:rPr>
      <w:tblPr/>
      <w:tcPr>
        <w:shd w:val="clear" w:color="auto" w:fill="BFBFBF" w:themeFill="background1"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customStyle="1" w:styleId="SGTableHeader">
    <w:name w:val="SG Table Header"/>
    <w:qFormat/>
    <w:rsid w:val="00AA68EC"/>
    <w:pPr>
      <w:spacing w:line="240" w:lineRule="exact"/>
    </w:pPr>
    <w:rPr>
      <w:rFonts w:eastAsia="Times New Roman"/>
      <w:b/>
      <w:sz w:val="22"/>
      <w:lang w:val="en-GB"/>
    </w:rPr>
  </w:style>
  <w:style w:type="paragraph" w:customStyle="1" w:styleId="SGTableText">
    <w:name w:val="SG Table Text"/>
    <w:qFormat/>
    <w:rsid w:val="00AA68EC"/>
    <w:pPr>
      <w:spacing w:line="240" w:lineRule="exact"/>
    </w:pPr>
    <w:rPr>
      <w:rFonts w:eastAsia="Times New Roman"/>
      <w:sz w:val="22"/>
      <w:lang w:val="en-GB"/>
    </w:rPr>
  </w:style>
  <w:style w:type="character" w:customStyle="1" w:styleId="Clearbold">
    <w:name w:val="Clear bold"/>
    <w:aliases w:val="italic &amp; bolditalic"/>
    <w:basedOn w:val="DefaultParagraphFont"/>
    <w:uiPriority w:val="1"/>
    <w:rsid w:val="00CD3239"/>
    <w:rPr>
      <w:rFonts w:ascii="Arial" w:hAnsi="Arial"/>
    </w:rPr>
  </w:style>
  <w:style w:type="paragraph" w:customStyle="1" w:styleId="SGboxtext">
    <w:name w:val="SG box text"/>
    <w:basedOn w:val="SGBodytext"/>
    <w:qFormat/>
    <w:rsid w:val="002F0E89"/>
    <w:pPr>
      <w:pBdr>
        <w:top w:val="single" w:sz="4" w:space="4" w:color="000000" w:themeColor="text1"/>
        <w:left w:val="single" w:sz="4" w:space="4" w:color="000000" w:themeColor="text1"/>
        <w:bottom w:val="single" w:sz="4" w:space="4" w:color="000000" w:themeColor="text1"/>
        <w:right w:val="single" w:sz="4" w:space="4" w:color="000000" w:themeColor="text1"/>
      </w:pBdr>
    </w:pPr>
    <w:rPr>
      <w:b/>
    </w:rPr>
  </w:style>
  <w:style w:type="paragraph" w:customStyle="1" w:styleId="SGRightItalic">
    <w:name w:val="SG Right Italic"/>
    <w:basedOn w:val="SGboxtext"/>
    <w:rsid w:val="00AA68EC"/>
    <w:pPr>
      <w:pBdr>
        <w:top w:val="none" w:sz="0" w:space="0" w:color="auto"/>
        <w:left w:val="none" w:sz="0" w:space="0" w:color="auto"/>
        <w:bottom w:val="none" w:sz="0" w:space="0" w:color="auto"/>
        <w:right w:val="none" w:sz="0" w:space="0" w:color="auto"/>
      </w:pBdr>
      <w:jc w:val="right"/>
    </w:pPr>
    <w:rPr>
      <w:i/>
    </w:rPr>
  </w:style>
  <w:style w:type="paragraph" w:customStyle="1" w:styleId="SGRightBold">
    <w:name w:val="SG Right Bold"/>
    <w:basedOn w:val="SGBodytext"/>
    <w:rsid w:val="00AA68EC"/>
    <w:pPr>
      <w:jc w:val="right"/>
    </w:pPr>
    <w:rPr>
      <w:b/>
    </w:rPr>
  </w:style>
  <w:style w:type="paragraph" w:customStyle="1" w:styleId="SGBoxtextShaded">
    <w:name w:val="SG Box text Shaded"/>
    <w:basedOn w:val="SGboxtext"/>
    <w:rsid w:val="00B051EC"/>
    <w:pPr>
      <w:shd w:val="clear" w:color="auto" w:fill="CCD9E0"/>
    </w:pPr>
  </w:style>
  <w:style w:type="character" w:customStyle="1" w:styleId="Heading1Char">
    <w:name w:val="Heading 1 Char"/>
    <w:aliases w:val="Outline1 Char"/>
    <w:basedOn w:val="DefaultParagraphFont"/>
    <w:link w:val="Heading1"/>
    <w:rsid w:val="0066182C"/>
    <w:rPr>
      <w:rFonts w:eastAsia="Times New Roman"/>
      <w:b/>
      <w:sz w:val="44"/>
    </w:rPr>
  </w:style>
  <w:style w:type="paragraph" w:styleId="TOC1">
    <w:name w:val="toc 1"/>
    <w:aliases w:val="SG TOC 1"/>
    <w:basedOn w:val="Normal"/>
    <w:next w:val="Normal"/>
    <w:autoRedefine/>
    <w:uiPriority w:val="39"/>
    <w:rsid w:val="00885896"/>
    <w:pPr>
      <w:tabs>
        <w:tab w:val="clear" w:pos="720"/>
        <w:tab w:val="clear" w:pos="1440"/>
        <w:tab w:val="clear" w:pos="2160"/>
        <w:tab w:val="clear" w:pos="2880"/>
        <w:tab w:val="clear" w:pos="4680"/>
        <w:tab w:val="clear" w:pos="5400"/>
        <w:tab w:val="clear" w:pos="9000"/>
        <w:tab w:val="right" w:leader="dot" w:pos="9639"/>
      </w:tabs>
      <w:spacing w:after="100" w:line="300" w:lineRule="atLeast"/>
    </w:pPr>
    <w:rPr>
      <w:b/>
      <w:noProof/>
    </w:rPr>
  </w:style>
  <w:style w:type="paragraph" w:styleId="TOC2">
    <w:name w:val="toc 2"/>
    <w:aliases w:val="SG TOC 2"/>
    <w:basedOn w:val="Normal"/>
    <w:next w:val="Normal"/>
    <w:autoRedefine/>
    <w:uiPriority w:val="39"/>
    <w:rsid w:val="00885896"/>
    <w:pPr>
      <w:tabs>
        <w:tab w:val="clear" w:pos="720"/>
        <w:tab w:val="clear" w:pos="1440"/>
        <w:tab w:val="clear" w:pos="2160"/>
        <w:tab w:val="clear" w:pos="2880"/>
        <w:tab w:val="clear" w:pos="4680"/>
        <w:tab w:val="clear" w:pos="5400"/>
        <w:tab w:val="clear" w:pos="9000"/>
        <w:tab w:val="right" w:leader="dot" w:pos="9639"/>
      </w:tabs>
      <w:spacing w:after="100" w:line="300" w:lineRule="atLeast"/>
      <w:ind w:left="284"/>
    </w:pPr>
  </w:style>
  <w:style w:type="paragraph" w:styleId="TOC3">
    <w:name w:val="toc 3"/>
    <w:aliases w:val="SG TOC 3"/>
    <w:basedOn w:val="TOC1"/>
    <w:next w:val="Normal"/>
    <w:autoRedefine/>
    <w:uiPriority w:val="39"/>
    <w:rsid w:val="00D21CCF"/>
    <w:pPr>
      <w:spacing w:after="120" w:line="300" w:lineRule="exact"/>
      <w:ind w:left="567"/>
    </w:pPr>
    <w:rPr>
      <w:b w:val="0"/>
      <w:color w:val="000000" w:themeColor="text1"/>
    </w:rPr>
  </w:style>
  <w:style w:type="paragraph" w:styleId="Index1">
    <w:name w:val="index 1"/>
    <w:basedOn w:val="Normal"/>
    <w:next w:val="Normal"/>
    <w:autoRedefine/>
    <w:rsid w:val="00AA68EC"/>
    <w:pPr>
      <w:tabs>
        <w:tab w:val="clear" w:pos="720"/>
        <w:tab w:val="clear" w:pos="1440"/>
        <w:tab w:val="clear" w:pos="2160"/>
        <w:tab w:val="clear" w:pos="2880"/>
        <w:tab w:val="clear" w:pos="4680"/>
        <w:tab w:val="clear" w:pos="5400"/>
        <w:tab w:val="clear" w:pos="9000"/>
      </w:tabs>
      <w:spacing w:line="300" w:lineRule="exact"/>
      <w:ind w:left="198" w:hanging="198"/>
    </w:pPr>
  </w:style>
  <w:style w:type="paragraph" w:styleId="Index2">
    <w:name w:val="index 2"/>
    <w:basedOn w:val="Normal"/>
    <w:next w:val="Normal"/>
    <w:autoRedefine/>
    <w:rsid w:val="00AA68EC"/>
    <w:pPr>
      <w:tabs>
        <w:tab w:val="clear" w:pos="720"/>
        <w:tab w:val="clear" w:pos="1440"/>
        <w:tab w:val="clear" w:pos="2160"/>
        <w:tab w:val="clear" w:pos="2880"/>
        <w:tab w:val="clear" w:pos="4680"/>
        <w:tab w:val="clear" w:pos="5400"/>
        <w:tab w:val="clear" w:pos="9000"/>
      </w:tabs>
      <w:spacing w:line="300" w:lineRule="exact"/>
      <w:ind w:left="396" w:hanging="198"/>
    </w:pPr>
  </w:style>
  <w:style w:type="paragraph" w:styleId="Index3">
    <w:name w:val="index 3"/>
    <w:basedOn w:val="Normal"/>
    <w:next w:val="Normal"/>
    <w:autoRedefine/>
    <w:rsid w:val="00AA68EC"/>
    <w:pPr>
      <w:tabs>
        <w:tab w:val="clear" w:pos="720"/>
        <w:tab w:val="clear" w:pos="1440"/>
        <w:tab w:val="clear" w:pos="2160"/>
        <w:tab w:val="clear" w:pos="2880"/>
        <w:tab w:val="clear" w:pos="4680"/>
        <w:tab w:val="clear" w:pos="5400"/>
        <w:tab w:val="clear" w:pos="9000"/>
      </w:tabs>
      <w:spacing w:line="300" w:lineRule="exact"/>
      <w:ind w:left="601" w:hanging="198"/>
    </w:pPr>
  </w:style>
  <w:style w:type="paragraph" w:styleId="Index4">
    <w:name w:val="index 4"/>
    <w:basedOn w:val="Normal"/>
    <w:next w:val="Normal"/>
    <w:autoRedefine/>
    <w:rsid w:val="00AA68EC"/>
    <w:pPr>
      <w:tabs>
        <w:tab w:val="clear" w:pos="720"/>
        <w:tab w:val="clear" w:pos="1440"/>
        <w:tab w:val="clear" w:pos="2160"/>
        <w:tab w:val="clear" w:pos="2880"/>
        <w:tab w:val="clear" w:pos="4680"/>
        <w:tab w:val="clear" w:pos="5400"/>
        <w:tab w:val="clear" w:pos="9000"/>
      </w:tabs>
      <w:spacing w:line="240" w:lineRule="auto"/>
      <w:ind w:left="800" w:hanging="200"/>
    </w:pPr>
  </w:style>
  <w:style w:type="character" w:customStyle="1" w:styleId="Heading2Char">
    <w:name w:val="Heading 2 Char"/>
    <w:aliases w:val="Outline2 Char"/>
    <w:basedOn w:val="DefaultParagraphFont"/>
    <w:link w:val="Heading2"/>
    <w:rsid w:val="006C2CF8"/>
    <w:rPr>
      <w:rFonts w:eastAsia="Times New Roman"/>
      <w:b/>
      <w:sz w:val="30"/>
      <w:lang w:val="en-GB"/>
    </w:rPr>
  </w:style>
  <w:style w:type="character" w:customStyle="1" w:styleId="Heading3Char">
    <w:name w:val="Heading 3 Char"/>
    <w:aliases w:val="Outline3 Char"/>
    <w:basedOn w:val="DefaultParagraphFont"/>
    <w:link w:val="Heading3"/>
    <w:rsid w:val="00AA2092"/>
    <w:rPr>
      <w:rFonts w:eastAsia="Times New Roman"/>
      <w:b/>
      <w:sz w:val="26"/>
      <w:lang w:val="en-GB"/>
    </w:rPr>
  </w:style>
  <w:style w:type="character" w:customStyle="1" w:styleId="Heading4Char">
    <w:name w:val="Heading 4 Char"/>
    <w:basedOn w:val="DefaultParagraphFont"/>
    <w:link w:val="Heading4"/>
    <w:semiHidden/>
    <w:rsid w:val="009A21D7"/>
    <w:rPr>
      <w:rFonts w:eastAsiaTheme="majorEastAsia" w:cstheme="majorBidi"/>
      <w:b/>
      <w:bCs/>
      <w:i/>
      <w:iCs/>
    </w:rPr>
  </w:style>
  <w:style w:type="character" w:customStyle="1" w:styleId="Heading5Char">
    <w:name w:val="Heading 5 Char"/>
    <w:basedOn w:val="DefaultParagraphFont"/>
    <w:link w:val="Heading5"/>
    <w:semiHidden/>
    <w:rsid w:val="009A21D7"/>
    <w:rPr>
      <w:rFonts w:eastAsiaTheme="majorEastAsia" w:cstheme="majorBidi"/>
      <w:color w:val="000000" w:themeColor="text1"/>
    </w:rPr>
  </w:style>
  <w:style w:type="character" w:customStyle="1" w:styleId="Heading6Char">
    <w:name w:val="Heading 6 Char"/>
    <w:basedOn w:val="DefaultParagraphFont"/>
    <w:link w:val="Heading6"/>
    <w:semiHidden/>
    <w:rsid w:val="009A21D7"/>
    <w:rPr>
      <w:rFonts w:eastAsiaTheme="majorEastAsia" w:cstheme="majorBidi"/>
      <w:i/>
      <w:iCs/>
      <w:color w:val="000000" w:themeColor="text1"/>
    </w:rPr>
  </w:style>
  <w:style w:type="character" w:customStyle="1" w:styleId="Heading7Char">
    <w:name w:val="Heading 7 Char"/>
    <w:basedOn w:val="DefaultParagraphFont"/>
    <w:link w:val="Heading7"/>
    <w:semiHidden/>
    <w:rsid w:val="009A21D7"/>
    <w:rPr>
      <w:rFonts w:eastAsiaTheme="majorEastAsia" w:cstheme="majorBidi"/>
      <w:i/>
      <w:iCs/>
      <w:color w:val="000000" w:themeColor="text1"/>
    </w:rPr>
  </w:style>
  <w:style w:type="character" w:customStyle="1" w:styleId="Heading8Char">
    <w:name w:val="Heading 8 Char"/>
    <w:basedOn w:val="DefaultParagraphFont"/>
    <w:link w:val="Heading8"/>
    <w:semiHidden/>
    <w:rsid w:val="009A21D7"/>
    <w:rPr>
      <w:rFonts w:eastAsiaTheme="majorEastAsia" w:cstheme="majorBidi"/>
      <w:color w:val="000000" w:themeColor="text1"/>
    </w:rPr>
  </w:style>
  <w:style w:type="character" w:customStyle="1" w:styleId="Heading9Char">
    <w:name w:val="Heading 9 Char"/>
    <w:basedOn w:val="DefaultParagraphFont"/>
    <w:link w:val="Heading9"/>
    <w:semiHidden/>
    <w:rsid w:val="009A21D7"/>
    <w:rPr>
      <w:rFonts w:eastAsiaTheme="majorEastAsia" w:cstheme="majorBidi"/>
      <w:i/>
      <w:iCs/>
      <w:color w:val="000000" w:themeColor="text1"/>
    </w:rPr>
  </w:style>
  <w:style w:type="paragraph" w:styleId="ListParagraph">
    <w:name w:val="List Paragraph"/>
    <w:aliases w:val="Dot pt,No Spacing1,List Paragraph Char Char Char,Indicator Text,Numbered Para 1,List Paragraph1,Bullet 1,Bullet Points,MAIN CONTENT"/>
    <w:basedOn w:val="Normal"/>
    <w:link w:val="ListParagraphChar"/>
    <w:uiPriority w:val="34"/>
    <w:qFormat/>
    <w:locked/>
    <w:rsid w:val="0062349D"/>
    <w:pPr>
      <w:ind w:left="720"/>
      <w:contextualSpacing/>
    </w:pPr>
  </w:style>
  <w:style w:type="paragraph" w:customStyle="1" w:styleId="Heading1blue">
    <w:name w:val="Heading 1 blue"/>
    <w:basedOn w:val="Heading1"/>
    <w:rsid w:val="00982A95"/>
    <w:rPr>
      <w:color w:val="064367"/>
    </w:rPr>
  </w:style>
  <w:style w:type="paragraph" w:customStyle="1" w:styleId="Heading2blue">
    <w:name w:val="Heading 2 blue"/>
    <w:basedOn w:val="Heading2"/>
    <w:next w:val="SGBodytext"/>
    <w:rsid w:val="00982A95"/>
    <w:rPr>
      <w:color w:val="064367"/>
    </w:rPr>
  </w:style>
  <w:style w:type="paragraph" w:customStyle="1" w:styleId="Heading3blue">
    <w:name w:val="Heading 3 blue"/>
    <w:basedOn w:val="Heading3"/>
    <w:next w:val="SGBodytext"/>
    <w:rsid w:val="00982A95"/>
    <w:rPr>
      <w:color w:val="064367"/>
    </w:rPr>
  </w:style>
  <w:style w:type="paragraph" w:styleId="TOCHeading">
    <w:name w:val="TOC Heading"/>
    <w:basedOn w:val="Heading3blue"/>
    <w:next w:val="Normal"/>
    <w:uiPriority w:val="39"/>
    <w:unhideWhenUsed/>
    <w:qFormat/>
    <w:locked/>
    <w:rsid w:val="00D468CA"/>
    <w:pPr>
      <w:keepNext/>
      <w:keepLines/>
      <w:spacing w:before="480" w:after="0" w:line="276" w:lineRule="auto"/>
      <w:outlineLvl w:val="9"/>
    </w:pPr>
    <w:rPr>
      <w:rFonts w:asciiTheme="majorHAnsi" w:eastAsiaTheme="majorEastAsia" w:hAnsiTheme="majorHAnsi" w:cstheme="majorBidi"/>
      <w:bCs/>
      <w:color w:val="365F91" w:themeColor="accent1" w:themeShade="BF"/>
      <w:sz w:val="28"/>
      <w:szCs w:val="28"/>
      <w:lang w:eastAsia="ja-JP"/>
    </w:rPr>
  </w:style>
  <w:style w:type="paragraph" w:customStyle="1" w:styleId="SGTablebullets">
    <w:name w:val="SG Table bullets"/>
    <w:basedOn w:val="Normal"/>
    <w:qFormat/>
    <w:rsid w:val="00D63487"/>
    <w:pPr>
      <w:numPr>
        <w:numId w:val="4"/>
      </w:numPr>
      <w:tabs>
        <w:tab w:val="clear" w:pos="720"/>
        <w:tab w:val="clear" w:pos="1440"/>
        <w:tab w:val="clear" w:pos="2160"/>
        <w:tab w:val="clear" w:pos="2880"/>
        <w:tab w:val="clear" w:pos="4680"/>
        <w:tab w:val="clear" w:pos="5400"/>
        <w:tab w:val="clear" w:pos="9000"/>
      </w:tabs>
      <w:spacing w:after="40" w:line="240" w:lineRule="exact"/>
      <w:ind w:left="288" w:hanging="288"/>
    </w:pPr>
    <w:rPr>
      <w:rFonts w:eastAsia="Times New Roman"/>
      <w:sz w:val="20"/>
    </w:rPr>
  </w:style>
  <w:style w:type="character" w:styleId="PlaceholderText">
    <w:name w:val="Placeholder Text"/>
    <w:basedOn w:val="DefaultParagraphFont"/>
    <w:uiPriority w:val="99"/>
    <w:semiHidden/>
    <w:locked/>
    <w:rsid w:val="006C2CF8"/>
    <w:rPr>
      <w:color w:val="808080"/>
    </w:rPr>
  </w:style>
  <w:style w:type="paragraph" w:customStyle="1" w:styleId="SGGraphTableTitle">
    <w:name w:val="SG Graph/Table Title"/>
    <w:basedOn w:val="Normal"/>
    <w:next w:val="SGBodytext"/>
    <w:rsid w:val="00583C10"/>
    <w:pPr>
      <w:keepNext/>
      <w:spacing w:before="120" w:after="120"/>
    </w:pPr>
  </w:style>
  <w:style w:type="paragraph" w:customStyle="1" w:styleId="SGTableBody1">
    <w:name w:val="SG Table Body 1"/>
    <w:basedOn w:val="Normal"/>
    <w:rsid w:val="00B051EC"/>
    <w:pPr>
      <w:jc w:val="both"/>
    </w:pPr>
    <w:rPr>
      <w:rFonts w:cs="Arial"/>
      <w:sz w:val="20"/>
      <w:szCs w:val="18"/>
    </w:rPr>
  </w:style>
  <w:style w:type="paragraph" w:customStyle="1" w:styleId="SGTableTitle1">
    <w:name w:val="SG Table Title 1"/>
    <w:basedOn w:val="Normal"/>
    <w:rsid w:val="00AD50FD"/>
    <w:rPr>
      <w:rFonts w:cs="Arial"/>
      <w:b/>
      <w:color w:val="FFFFFF" w:themeColor="background1"/>
      <w:sz w:val="18"/>
      <w:szCs w:val="18"/>
    </w:rPr>
  </w:style>
  <w:style w:type="paragraph" w:customStyle="1" w:styleId="SGCentredCharacter">
    <w:name w:val="SG Centred (Character)"/>
    <w:basedOn w:val="SGTableBody1"/>
    <w:rsid w:val="00AD50FD"/>
    <w:pPr>
      <w:jc w:val="center"/>
    </w:pPr>
  </w:style>
  <w:style w:type="table" w:customStyle="1" w:styleId="SGTableStyle1">
    <w:name w:val="SG Table Style 1"/>
    <w:basedOn w:val="TableNormal"/>
    <w:uiPriority w:val="99"/>
    <w:rsid w:val="00745A56"/>
    <w:rPr>
      <w:sz w:val="18"/>
    </w:rPr>
    <w:tblPr>
      <w:tblStyleRowBandSize w:val="1"/>
      <w:tblInd w:w="0" w:type="dxa"/>
      <w:tblBorders>
        <w:top w:val="single" w:sz="4" w:space="0" w:color="auto"/>
        <w:bottom w:val="single" w:sz="4" w:space="0" w:color="auto"/>
        <w:insideH w:val="single" w:sz="4" w:space="0" w:color="auto"/>
      </w:tblBorders>
      <w:tblCellMar>
        <w:top w:w="113" w:type="dxa"/>
        <w:left w:w="108" w:type="dxa"/>
        <w:bottom w:w="113" w:type="dxa"/>
        <w:right w:w="108" w:type="dxa"/>
      </w:tblCellMar>
    </w:tblPr>
    <w:tblStylePr w:type="firstRow">
      <w:pPr>
        <w:wordWrap/>
        <w:spacing w:beforeLines="0" w:before="60" w:beforeAutospacing="0" w:afterLines="0" w:after="60" w:afterAutospacing="0"/>
        <w:jc w:val="left"/>
      </w:pPr>
      <w:rPr>
        <w:rFonts w:ascii="Arial" w:hAnsi="Arial"/>
        <w:color w:val="auto"/>
        <w:sz w:val="18"/>
      </w:rPr>
      <w:tblPr/>
      <w:tcPr>
        <w:shd w:val="clear" w:color="auto" w:fill="EEECE1" w:themeFill="background2"/>
      </w:tcPr>
    </w:tblStylePr>
  </w:style>
  <w:style w:type="paragraph" w:customStyle="1" w:styleId="SGTableHeading1">
    <w:name w:val="SG Table Heading 1"/>
    <w:basedOn w:val="Normal"/>
    <w:rsid w:val="00B051EC"/>
    <w:pPr>
      <w:jc w:val="right"/>
    </w:pPr>
    <w:rPr>
      <w:rFonts w:cs="Arial"/>
      <w:b/>
      <w:sz w:val="20"/>
      <w:szCs w:val="18"/>
    </w:rPr>
  </w:style>
  <w:style w:type="character" w:customStyle="1" w:styleId="FooterChar">
    <w:name w:val="Footer Char"/>
    <w:basedOn w:val="DefaultParagraphFont"/>
    <w:link w:val="Footer"/>
    <w:uiPriority w:val="99"/>
    <w:rsid w:val="00080500"/>
    <w:rPr>
      <w:sz w:val="24"/>
      <w:szCs w:val="24"/>
    </w:rPr>
  </w:style>
  <w:style w:type="paragraph" w:styleId="EndnoteText">
    <w:name w:val="endnote text"/>
    <w:basedOn w:val="Normal"/>
    <w:link w:val="EndnoteTextChar"/>
    <w:uiPriority w:val="99"/>
    <w:unhideWhenUsed/>
    <w:locked/>
    <w:rsid w:val="008A37EC"/>
    <w:pPr>
      <w:spacing w:line="240" w:lineRule="auto"/>
      <w:jc w:val="both"/>
    </w:pPr>
    <w:rPr>
      <w:rFonts w:eastAsia="Times New Roman"/>
      <w:sz w:val="20"/>
    </w:rPr>
  </w:style>
  <w:style w:type="character" w:customStyle="1" w:styleId="EndnoteTextChar">
    <w:name w:val="Endnote Text Char"/>
    <w:basedOn w:val="DefaultParagraphFont"/>
    <w:link w:val="EndnoteText"/>
    <w:uiPriority w:val="99"/>
    <w:rsid w:val="008A37EC"/>
    <w:rPr>
      <w:rFonts w:eastAsia="Times New Roman"/>
      <w:lang w:val="en-GB"/>
    </w:rPr>
  </w:style>
  <w:style w:type="character" w:styleId="EndnoteReference">
    <w:name w:val="endnote reference"/>
    <w:basedOn w:val="DefaultParagraphFont"/>
    <w:uiPriority w:val="99"/>
    <w:unhideWhenUsed/>
    <w:locked/>
    <w:rsid w:val="008A37EC"/>
    <w:rPr>
      <w:vertAlign w:val="superscript"/>
    </w:rPr>
  </w:style>
  <w:style w:type="paragraph" w:styleId="CommentText">
    <w:name w:val="annotation text"/>
    <w:basedOn w:val="Normal"/>
    <w:link w:val="CommentTextChar"/>
    <w:uiPriority w:val="99"/>
    <w:unhideWhenUsed/>
    <w:locked/>
    <w:rsid w:val="008A37EC"/>
    <w:pPr>
      <w:spacing w:line="240" w:lineRule="auto"/>
      <w:jc w:val="both"/>
    </w:pPr>
    <w:rPr>
      <w:rFonts w:eastAsia="Times New Roman"/>
      <w:sz w:val="20"/>
    </w:rPr>
  </w:style>
  <w:style w:type="character" w:customStyle="1" w:styleId="CommentTextChar">
    <w:name w:val="Comment Text Char"/>
    <w:basedOn w:val="DefaultParagraphFont"/>
    <w:link w:val="CommentText"/>
    <w:uiPriority w:val="99"/>
    <w:rsid w:val="008A37EC"/>
    <w:rPr>
      <w:rFonts w:eastAsia="Times New Roman"/>
      <w:lang w:val="en-GB"/>
    </w:rPr>
  </w:style>
  <w:style w:type="paragraph" w:styleId="Title">
    <w:name w:val="Title"/>
    <w:basedOn w:val="Normal"/>
    <w:next w:val="Normal"/>
    <w:link w:val="TitleChar"/>
    <w:uiPriority w:val="10"/>
    <w:qFormat/>
    <w:locked/>
    <w:rsid w:val="008A37EC"/>
    <w:pPr>
      <w:pBdr>
        <w:bottom w:val="single" w:sz="8" w:space="4" w:color="4F81BD" w:themeColor="accent1"/>
      </w:pBdr>
      <w:spacing w:after="300" w:line="240" w:lineRule="auto"/>
      <w:contextualSpacing/>
      <w:jc w:val="both"/>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A37EC"/>
    <w:rPr>
      <w:rFonts w:asciiTheme="majorHAnsi" w:eastAsiaTheme="majorEastAsia" w:hAnsiTheme="majorHAnsi" w:cstheme="majorBidi"/>
      <w:color w:val="17365D" w:themeColor="text2" w:themeShade="BF"/>
      <w:spacing w:val="5"/>
      <w:kern w:val="28"/>
      <w:sz w:val="52"/>
      <w:szCs w:val="52"/>
      <w:lang w:val="en-GB"/>
    </w:rPr>
  </w:style>
  <w:style w:type="paragraph" w:styleId="Bibliography">
    <w:name w:val="Bibliography"/>
    <w:basedOn w:val="Normal"/>
    <w:next w:val="Normal"/>
    <w:uiPriority w:val="37"/>
    <w:unhideWhenUsed/>
    <w:locked/>
    <w:rsid w:val="008A37EC"/>
    <w:pPr>
      <w:jc w:val="both"/>
    </w:pPr>
    <w:rPr>
      <w:rFonts w:eastAsia="Times New Roman"/>
      <w:sz w:val="24"/>
    </w:rPr>
  </w:style>
  <w:style w:type="character" w:customStyle="1" w:styleId="slug-pub-date3">
    <w:name w:val="slug-pub-date3"/>
    <w:basedOn w:val="DefaultParagraphFont"/>
    <w:rsid w:val="008A37EC"/>
    <w:rPr>
      <w:b/>
      <w:bCs/>
    </w:rPr>
  </w:style>
  <w:style w:type="character" w:customStyle="1" w:styleId="slug-vol">
    <w:name w:val="slug-vol"/>
    <w:basedOn w:val="DefaultParagraphFont"/>
    <w:rsid w:val="008A37EC"/>
  </w:style>
  <w:style w:type="character" w:customStyle="1" w:styleId="slug-issue">
    <w:name w:val="slug-issue"/>
    <w:basedOn w:val="DefaultParagraphFont"/>
    <w:rsid w:val="008A37EC"/>
  </w:style>
  <w:style w:type="character" w:customStyle="1" w:styleId="slug-pages3">
    <w:name w:val="slug-pages3"/>
    <w:basedOn w:val="DefaultParagraphFont"/>
    <w:rsid w:val="008A37EC"/>
    <w:rPr>
      <w:b/>
      <w:bCs/>
    </w:rPr>
  </w:style>
  <w:style w:type="numbering" w:customStyle="1" w:styleId="NoList1">
    <w:name w:val="No List1"/>
    <w:next w:val="NoList"/>
    <w:uiPriority w:val="99"/>
    <w:semiHidden/>
    <w:unhideWhenUsed/>
    <w:rsid w:val="008A37EC"/>
  </w:style>
  <w:style w:type="paragraph" w:customStyle="1" w:styleId="Bulletted">
    <w:name w:val="Bulletted"/>
    <w:basedOn w:val="Normal"/>
    <w:next w:val="Normal"/>
    <w:rsid w:val="008A37EC"/>
    <w:pPr>
      <w:numPr>
        <w:numId w:val="9"/>
      </w:numPr>
      <w:tabs>
        <w:tab w:val="left" w:pos="360"/>
        <w:tab w:val="left" w:pos="1080"/>
        <w:tab w:val="left" w:pos="1800"/>
        <w:tab w:val="left" w:pos="3240"/>
      </w:tabs>
      <w:jc w:val="both"/>
    </w:pPr>
    <w:rPr>
      <w:rFonts w:eastAsia="Times New Roman"/>
      <w:sz w:val="24"/>
    </w:rPr>
  </w:style>
  <w:style w:type="paragraph" w:customStyle="1" w:styleId="Outline4">
    <w:name w:val="Outline4"/>
    <w:basedOn w:val="Normal"/>
    <w:next w:val="Normal"/>
    <w:rsid w:val="008A37EC"/>
    <w:pPr>
      <w:ind w:left="2160"/>
      <w:jc w:val="both"/>
    </w:pPr>
    <w:rPr>
      <w:rFonts w:eastAsia="Times New Roman"/>
      <w:kern w:val="24"/>
      <w:sz w:val="24"/>
    </w:rPr>
  </w:style>
  <w:style w:type="paragraph" w:customStyle="1" w:styleId="Outline5">
    <w:name w:val="Outline5"/>
    <w:basedOn w:val="Normal"/>
    <w:next w:val="Normal"/>
    <w:rsid w:val="008A37EC"/>
    <w:pPr>
      <w:ind w:left="720"/>
      <w:jc w:val="both"/>
    </w:pPr>
    <w:rPr>
      <w:rFonts w:eastAsia="Times New Roman"/>
      <w:kern w:val="24"/>
      <w:sz w:val="24"/>
    </w:rPr>
  </w:style>
  <w:style w:type="paragraph" w:customStyle="1" w:styleId="Outline6">
    <w:name w:val="Outline6"/>
    <w:basedOn w:val="Normal"/>
    <w:next w:val="Normal"/>
    <w:rsid w:val="008A37EC"/>
    <w:pPr>
      <w:spacing w:after="240"/>
      <w:ind w:left="2160"/>
      <w:jc w:val="both"/>
    </w:pPr>
    <w:rPr>
      <w:rFonts w:eastAsia="Times New Roman"/>
      <w:kern w:val="24"/>
      <w:sz w:val="24"/>
    </w:rPr>
  </w:style>
  <w:style w:type="paragraph" w:customStyle="1" w:styleId="Outline7">
    <w:name w:val="Outline7"/>
    <w:basedOn w:val="Normal"/>
    <w:next w:val="Normal"/>
    <w:rsid w:val="008A37EC"/>
    <w:pPr>
      <w:spacing w:after="240"/>
      <w:ind w:left="720"/>
      <w:jc w:val="both"/>
    </w:pPr>
    <w:rPr>
      <w:rFonts w:eastAsia="Times New Roman"/>
      <w:kern w:val="24"/>
      <w:sz w:val="24"/>
    </w:rPr>
  </w:style>
  <w:style w:type="character" w:customStyle="1" w:styleId="FootnoteTextChar">
    <w:name w:val="Footnote Text Char"/>
    <w:basedOn w:val="DefaultParagraphFont"/>
    <w:link w:val="FootnoteText"/>
    <w:uiPriority w:val="99"/>
    <w:rsid w:val="008A37EC"/>
    <w:rPr>
      <w:rFonts w:eastAsia="Calibri"/>
      <w:sz w:val="22"/>
    </w:rPr>
  </w:style>
  <w:style w:type="character" w:styleId="FollowedHyperlink">
    <w:name w:val="FollowedHyperlink"/>
    <w:basedOn w:val="DefaultParagraphFont"/>
    <w:uiPriority w:val="99"/>
    <w:unhideWhenUsed/>
    <w:locked/>
    <w:rsid w:val="008A37EC"/>
    <w:rPr>
      <w:color w:val="800080" w:themeColor="followedHyperlink"/>
      <w:u w:val="single"/>
    </w:rPr>
  </w:style>
  <w:style w:type="paragraph" w:styleId="Subtitle">
    <w:name w:val="Subtitle"/>
    <w:basedOn w:val="Normal"/>
    <w:next w:val="Normal"/>
    <w:link w:val="SubtitleChar"/>
    <w:uiPriority w:val="11"/>
    <w:qFormat/>
    <w:locked/>
    <w:rsid w:val="008A37EC"/>
    <w:pPr>
      <w:numPr>
        <w:ilvl w:val="1"/>
      </w:numPr>
      <w:jc w:val="both"/>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8A37EC"/>
    <w:rPr>
      <w:rFonts w:asciiTheme="majorHAnsi" w:eastAsiaTheme="majorEastAsia" w:hAnsiTheme="majorHAnsi" w:cstheme="majorBidi"/>
      <w:i/>
      <w:iCs/>
      <w:color w:val="4F81BD" w:themeColor="accent1"/>
      <w:spacing w:val="15"/>
      <w:sz w:val="24"/>
      <w:szCs w:val="24"/>
      <w:lang w:val="en-GB"/>
    </w:rPr>
  </w:style>
  <w:style w:type="character" w:customStyle="1" w:styleId="BalloonTextChar">
    <w:name w:val="Balloon Text Char"/>
    <w:basedOn w:val="DefaultParagraphFont"/>
    <w:link w:val="BalloonText"/>
    <w:uiPriority w:val="99"/>
    <w:rsid w:val="008A37EC"/>
    <w:rPr>
      <w:sz w:val="18"/>
    </w:rPr>
  </w:style>
  <w:style w:type="character" w:styleId="Strong">
    <w:name w:val="Strong"/>
    <w:basedOn w:val="DefaultParagraphFont"/>
    <w:uiPriority w:val="22"/>
    <w:qFormat/>
    <w:locked/>
    <w:rsid w:val="008A37EC"/>
    <w:rPr>
      <w:b/>
      <w:bCs/>
    </w:rPr>
  </w:style>
  <w:style w:type="paragraph" w:customStyle="1" w:styleId="Default">
    <w:name w:val="Default"/>
    <w:rsid w:val="008A37EC"/>
    <w:pPr>
      <w:autoSpaceDE w:val="0"/>
      <w:autoSpaceDN w:val="0"/>
      <w:adjustRightInd w:val="0"/>
    </w:pPr>
    <w:rPr>
      <w:rFonts w:eastAsia="Times New Roman" w:cs="Arial"/>
      <w:color w:val="000000"/>
      <w:sz w:val="24"/>
      <w:szCs w:val="24"/>
      <w:lang w:val="en-GB" w:eastAsia="en-GB"/>
    </w:rPr>
  </w:style>
  <w:style w:type="paragraph" w:styleId="CommentSubject">
    <w:name w:val="annotation subject"/>
    <w:basedOn w:val="CommentText"/>
    <w:next w:val="CommentText"/>
    <w:link w:val="CommentSubjectChar"/>
    <w:uiPriority w:val="99"/>
    <w:unhideWhenUsed/>
    <w:locked/>
    <w:rsid w:val="008A37EC"/>
    <w:rPr>
      <w:b/>
      <w:bCs/>
    </w:rPr>
  </w:style>
  <w:style w:type="character" w:customStyle="1" w:styleId="CommentSubjectChar">
    <w:name w:val="Comment Subject Char"/>
    <w:basedOn w:val="CommentTextChar"/>
    <w:link w:val="CommentSubject"/>
    <w:uiPriority w:val="99"/>
    <w:rsid w:val="008A37EC"/>
    <w:rPr>
      <w:rFonts w:eastAsia="Times New Roman"/>
      <w:b/>
      <w:bCs/>
      <w:lang w:val="en-GB"/>
    </w:rPr>
  </w:style>
  <w:style w:type="character" w:styleId="Emphasis">
    <w:name w:val="Emphasis"/>
    <w:basedOn w:val="DefaultParagraphFont"/>
    <w:uiPriority w:val="20"/>
    <w:qFormat/>
    <w:locked/>
    <w:rsid w:val="008A37EC"/>
    <w:rPr>
      <w:i/>
      <w:iCs/>
    </w:rPr>
  </w:style>
  <w:style w:type="character" w:styleId="HTMLAcronym">
    <w:name w:val="HTML Acronym"/>
    <w:basedOn w:val="DefaultParagraphFont"/>
    <w:uiPriority w:val="99"/>
    <w:unhideWhenUsed/>
    <w:locked/>
    <w:rsid w:val="008A37EC"/>
    <w:rPr>
      <w:rFonts w:ascii="Times New Roman" w:hAnsi="Times New Roman" w:cs="Times New Roman" w:hint="default"/>
    </w:rPr>
  </w:style>
  <w:style w:type="paragraph" w:styleId="PlainText">
    <w:name w:val="Plain Text"/>
    <w:basedOn w:val="Normal"/>
    <w:link w:val="PlainTextChar"/>
    <w:uiPriority w:val="99"/>
    <w:unhideWhenUsed/>
    <w:locked/>
    <w:rsid w:val="008A37EC"/>
    <w:pPr>
      <w:tabs>
        <w:tab w:val="clear" w:pos="720"/>
        <w:tab w:val="clear" w:pos="1440"/>
        <w:tab w:val="clear" w:pos="2160"/>
        <w:tab w:val="clear" w:pos="2880"/>
        <w:tab w:val="clear" w:pos="4680"/>
        <w:tab w:val="clear" w:pos="5400"/>
        <w:tab w:val="clear" w:pos="9000"/>
      </w:tabs>
      <w:spacing w:line="240" w:lineRule="auto"/>
    </w:pPr>
    <w:rPr>
      <w:rFonts w:eastAsiaTheme="minorHAnsi" w:cstheme="minorBidi"/>
      <w:sz w:val="24"/>
      <w:szCs w:val="21"/>
    </w:rPr>
  </w:style>
  <w:style w:type="character" w:customStyle="1" w:styleId="PlainTextChar">
    <w:name w:val="Plain Text Char"/>
    <w:basedOn w:val="DefaultParagraphFont"/>
    <w:link w:val="PlainText"/>
    <w:uiPriority w:val="99"/>
    <w:rsid w:val="008A37EC"/>
    <w:rPr>
      <w:rFonts w:eastAsiaTheme="minorHAnsi" w:cstheme="minorBidi"/>
      <w:sz w:val="24"/>
      <w:szCs w:val="21"/>
      <w:lang w:val="en-GB"/>
    </w:rPr>
  </w:style>
  <w:style w:type="character" w:customStyle="1" w:styleId="A2">
    <w:name w:val="A2"/>
    <w:uiPriority w:val="99"/>
    <w:rsid w:val="008A37EC"/>
    <w:rPr>
      <w:rFonts w:cs="Unit"/>
      <w:color w:val="000000"/>
      <w:sz w:val="20"/>
      <w:szCs w:val="20"/>
    </w:rPr>
  </w:style>
  <w:style w:type="character" w:styleId="IntenseEmphasis">
    <w:name w:val="Intense Emphasis"/>
    <w:basedOn w:val="DefaultParagraphFont"/>
    <w:uiPriority w:val="21"/>
    <w:qFormat/>
    <w:locked/>
    <w:rsid w:val="008A37EC"/>
    <w:rPr>
      <w:rFonts w:ascii="Arial" w:hAnsi="Arial" w:cs="Arial"/>
      <w:b/>
      <w:bCs/>
      <w:sz w:val="28"/>
      <w:szCs w:val="28"/>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
    <w:link w:val="ListParagraph"/>
    <w:uiPriority w:val="34"/>
    <w:locked/>
    <w:rsid w:val="008A37EC"/>
    <w:rPr>
      <w:sz w:val="26"/>
    </w:rPr>
  </w:style>
  <w:style w:type="table" w:customStyle="1" w:styleId="TableGrid1">
    <w:name w:val="Table Grid1"/>
    <w:basedOn w:val="TableNormal"/>
    <w:next w:val="TableGrid"/>
    <w:uiPriority w:val="59"/>
    <w:rsid w:val="0008408A"/>
    <w:rPr>
      <w:rFonts w:eastAsia="Times New Roman"/>
      <w:sz w:val="24"/>
      <w:lang w:val="en-GB"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Cambria" w:hAnsi="Arial" w:cs="Times New Roman"/>
        <w:lang w:val="en-US" w:eastAsia="en-US" w:bidi="ar-SA"/>
      </w:rPr>
    </w:rPrDefault>
    <w:pPrDefault/>
  </w:docDefaults>
  <w:latentStyles w:defLockedState="1" w:defUIPriority="0" w:defSemiHidden="0" w:defUnhideWhenUsed="0" w:defQFormat="0" w:count="267">
    <w:lsdException w:name="Normal" w:locked="0"/>
    <w:lsdException w:name="heading 1" w:qFormat="1"/>
    <w:lsdException w:name="heading 2" w:locked="0"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note text" w:locked="0" w:uiPriority="99"/>
    <w:lsdException w:name="annotation text" w:uiPriority="99"/>
    <w:lsdException w:name="footer" w:locked="0" w:uiPriority="99"/>
    <w:lsdException w:name="caption" w:locked="0" w:qFormat="1"/>
    <w:lsdException w:name="footnote reference" w:locked="0" w:uiPriority="99"/>
    <w:lsdException w:name="annotation reference" w:locked="0" w:uiPriority="99"/>
    <w:lsdException w:name="page number" w:locked="0"/>
    <w:lsdException w:name="endnote reference" w:uiPriority="99"/>
    <w:lsdException w:name="endnote text" w:uiPriority="99"/>
    <w:lsdException w:name="Title" w:uiPriority="10" w:qFormat="1"/>
    <w:lsdException w:name="Default Paragraph Font" w:locked="0"/>
    <w:lsdException w:name="Subtitle" w:uiPriority="11" w:qFormat="1"/>
    <w:lsdException w:name="Hyperlink" w:uiPriority="99"/>
    <w:lsdException w:name="FollowedHyperlink" w:uiPriority="99"/>
    <w:lsdException w:name="Strong" w:uiPriority="22" w:qFormat="1"/>
    <w:lsdException w:name="Emphasis" w:uiPriority="20" w:qFormat="1"/>
    <w:lsdException w:name="Plain Text" w:uiPriority="99"/>
    <w:lsdException w:name="HTML Top of Form" w:locked="0"/>
    <w:lsdException w:name="HTML Bottom of Form" w:locked="0"/>
    <w:lsdException w:name="HTML Acronym" w:uiPriority="99"/>
    <w:lsdException w:name="Normal Table" w:locked="0"/>
    <w:lsdException w:name="annotation subject" w:uiPriority="99"/>
    <w:lsdException w:name="No List" w:locked="0"/>
    <w:lsdException w:name="Balloon Text" w:locked="0"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rsid w:val="00583C10"/>
    <w:pPr>
      <w:tabs>
        <w:tab w:val="left" w:pos="720"/>
        <w:tab w:val="left" w:pos="1440"/>
        <w:tab w:val="left" w:pos="2160"/>
        <w:tab w:val="left" w:pos="2880"/>
        <w:tab w:val="left" w:pos="4680"/>
        <w:tab w:val="left" w:pos="5400"/>
        <w:tab w:val="right" w:pos="9000"/>
      </w:tabs>
      <w:spacing w:line="240" w:lineRule="atLeast"/>
    </w:pPr>
    <w:rPr>
      <w:sz w:val="26"/>
      <w:lang w:val="en-GB"/>
    </w:rPr>
  </w:style>
  <w:style w:type="paragraph" w:styleId="Heading1">
    <w:name w:val="heading 1"/>
    <w:aliases w:val="Outline1"/>
    <w:next w:val="Normal"/>
    <w:link w:val="Heading1Char"/>
    <w:qFormat/>
    <w:rsid w:val="0066182C"/>
    <w:pPr>
      <w:spacing w:after="120" w:line="640" w:lineRule="exact"/>
      <w:outlineLvl w:val="0"/>
    </w:pPr>
    <w:rPr>
      <w:rFonts w:eastAsia="Times New Roman"/>
      <w:b/>
      <w:sz w:val="44"/>
    </w:rPr>
  </w:style>
  <w:style w:type="paragraph" w:styleId="Heading2">
    <w:name w:val="heading 2"/>
    <w:aliases w:val="Outline2"/>
    <w:next w:val="SGBodytext"/>
    <w:link w:val="Heading2Char"/>
    <w:unhideWhenUsed/>
    <w:qFormat/>
    <w:rsid w:val="006C2CF8"/>
    <w:pPr>
      <w:keepNext/>
      <w:spacing w:before="180" w:after="120" w:line="400" w:lineRule="exact"/>
      <w:outlineLvl w:val="1"/>
    </w:pPr>
    <w:rPr>
      <w:rFonts w:eastAsia="Times New Roman"/>
      <w:b/>
      <w:sz w:val="30"/>
      <w:lang w:val="en-GB"/>
    </w:rPr>
  </w:style>
  <w:style w:type="paragraph" w:styleId="Heading3">
    <w:name w:val="heading 3"/>
    <w:aliases w:val="Outline3"/>
    <w:next w:val="SGBodytext"/>
    <w:link w:val="Heading3Char"/>
    <w:unhideWhenUsed/>
    <w:qFormat/>
    <w:rsid w:val="00AA2092"/>
    <w:pPr>
      <w:spacing w:before="180" w:after="120" w:line="300" w:lineRule="exact"/>
      <w:outlineLvl w:val="2"/>
    </w:pPr>
    <w:rPr>
      <w:rFonts w:eastAsia="Times New Roman"/>
      <w:b/>
      <w:sz w:val="26"/>
      <w:lang w:val="en-GB"/>
    </w:rPr>
  </w:style>
  <w:style w:type="paragraph" w:styleId="Heading4">
    <w:name w:val="heading 4"/>
    <w:basedOn w:val="Normal"/>
    <w:next w:val="Normal"/>
    <w:link w:val="Heading4Char"/>
    <w:semiHidden/>
    <w:unhideWhenUsed/>
    <w:qFormat/>
    <w:locked/>
    <w:rsid w:val="009A21D7"/>
    <w:pPr>
      <w:keepNext/>
      <w:keepLines/>
      <w:spacing w:before="200"/>
      <w:outlineLvl w:val="3"/>
    </w:pPr>
    <w:rPr>
      <w:rFonts w:eastAsiaTheme="majorEastAsia" w:cstheme="majorBidi"/>
      <w:b/>
      <w:bCs/>
      <w:i/>
      <w:iCs/>
    </w:rPr>
  </w:style>
  <w:style w:type="paragraph" w:styleId="Heading5">
    <w:name w:val="heading 5"/>
    <w:basedOn w:val="Normal"/>
    <w:next w:val="Normal"/>
    <w:link w:val="Heading5Char"/>
    <w:semiHidden/>
    <w:unhideWhenUsed/>
    <w:qFormat/>
    <w:locked/>
    <w:rsid w:val="009A21D7"/>
    <w:pPr>
      <w:keepNext/>
      <w:keepLines/>
      <w:spacing w:before="200"/>
      <w:outlineLvl w:val="4"/>
    </w:pPr>
    <w:rPr>
      <w:rFonts w:eastAsiaTheme="majorEastAsia" w:cstheme="majorBidi"/>
      <w:color w:val="000000" w:themeColor="text1"/>
    </w:rPr>
  </w:style>
  <w:style w:type="paragraph" w:styleId="Heading6">
    <w:name w:val="heading 6"/>
    <w:basedOn w:val="Normal"/>
    <w:next w:val="Normal"/>
    <w:link w:val="Heading6Char"/>
    <w:semiHidden/>
    <w:unhideWhenUsed/>
    <w:qFormat/>
    <w:locked/>
    <w:rsid w:val="009A21D7"/>
    <w:pPr>
      <w:keepNext/>
      <w:keepLines/>
      <w:spacing w:before="200"/>
      <w:outlineLvl w:val="5"/>
    </w:pPr>
    <w:rPr>
      <w:rFonts w:eastAsiaTheme="majorEastAsia" w:cstheme="majorBidi"/>
      <w:i/>
      <w:iCs/>
      <w:color w:val="000000" w:themeColor="text1"/>
    </w:rPr>
  </w:style>
  <w:style w:type="paragraph" w:styleId="Heading7">
    <w:name w:val="heading 7"/>
    <w:basedOn w:val="Normal"/>
    <w:next w:val="Normal"/>
    <w:link w:val="Heading7Char"/>
    <w:semiHidden/>
    <w:unhideWhenUsed/>
    <w:qFormat/>
    <w:locked/>
    <w:rsid w:val="009A21D7"/>
    <w:pPr>
      <w:keepNext/>
      <w:keepLines/>
      <w:spacing w:before="200"/>
      <w:outlineLvl w:val="6"/>
    </w:pPr>
    <w:rPr>
      <w:rFonts w:eastAsiaTheme="majorEastAsia" w:cstheme="majorBidi"/>
      <w:i/>
      <w:iCs/>
      <w:color w:val="000000" w:themeColor="text1"/>
    </w:rPr>
  </w:style>
  <w:style w:type="paragraph" w:styleId="Heading8">
    <w:name w:val="heading 8"/>
    <w:basedOn w:val="Normal"/>
    <w:next w:val="Normal"/>
    <w:link w:val="Heading8Char"/>
    <w:semiHidden/>
    <w:unhideWhenUsed/>
    <w:qFormat/>
    <w:locked/>
    <w:rsid w:val="009A21D7"/>
    <w:pPr>
      <w:keepNext/>
      <w:keepLines/>
      <w:spacing w:before="200"/>
      <w:outlineLvl w:val="7"/>
    </w:pPr>
    <w:rPr>
      <w:rFonts w:eastAsiaTheme="majorEastAsia" w:cstheme="majorBidi"/>
      <w:color w:val="000000" w:themeColor="text1"/>
    </w:rPr>
  </w:style>
  <w:style w:type="paragraph" w:styleId="Heading9">
    <w:name w:val="heading 9"/>
    <w:basedOn w:val="Normal"/>
    <w:next w:val="Normal"/>
    <w:link w:val="Heading9Char"/>
    <w:semiHidden/>
    <w:unhideWhenUsed/>
    <w:qFormat/>
    <w:locked/>
    <w:rsid w:val="009A21D7"/>
    <w:pPr>
      <w:keepNext/>
      <w:keepLines/>
      <w:spacing w:before="200"/>
      <w:outlineLvl w:val="8"/>
    </w:pPr>
    <w:rPr>
      <w:rFonts w:eastAsiaTheme="majorEastAsia" w:cstheme="majorBidi"/>
      <w:i/>
      <w:iCs/>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link w:val="FootnoteTextChar"/>
    <w:uiPriority w:val="99"/>
    <w:unhideWhenUsed/>
    <w:rsid w:val="00AA68EC"/>
    <w:pPr>
      <w:spacing w:after="100" w:line="240" w:lineRule="exact"/>
    </w:pPr>
    <w:rPr>
      <w:rFonts w:eastAsia="Calibri"/>
      <w:sz w:val="22"/>
    </w:rPr>
  </w:style>
  <w:style w:type="character" w:customStyle="1" w:styleId="CharChar3">
    <w:name w:val="Char Char3"/>
    <w:semiHidden/>
    <w:locked/>
    <w:rsid w:val="00CD329F"/>
    <w:rPr>
      <w:rFonts w:ascii="Arial" w:hAnsi="Arial"/>
      <w:sz w:val="24"/>
      <w:szCs w:val="24"/>
    </w:rPr>
  </w:style>
  <w:style w:type="character" w:styleId="FootnoteReference">
    <w:name w:val="footnote reference"/>
    <w:uiPriority w:val="99"/>
    <w:semiHidden/>
    <w:unhideWhenUsed/>
    <w:rsid w:val="00AA68EC"/>
    <w:rPr>
      <w:rFonts w:ascii="Arial" w:hAnsi="Arial"/>
      <w:sz w:val="26"/>
      <w:vertAlign w:val="superscript"/>
    </w:rPr>
  </w:style>
  <w:style w:type="paragraph" w:styleId="Caption">
    <w:name w:val="caption"/>
    <w:basedOn w:val="Normal"/>
    <w:next w:val="Normal"/>
    <w:qFormat/>
    <w:locked/>
    <w:rsid w:val="00073B83"/>
    <w:pPr>
      <w:spacing w:before="120" w:after="120" w:line="276" w:lineRule="auto"/>
    </w:pPr>
    <w:rPr>
      <w:rFonts w:eastAsia="Calibri"/>
      <w:b/>
      <w:sz w:val="22"/>
    </w:rPr>
  </w:style>
  <w:style w:type="character" w:styleId="CommentReference">
    <w:name w:val="annotation reference"/>
    <w:uiPriority w:val="99"/>
    <w:semiHidden/>
    <w:locked/>
    <w:rsid w:val="00073B83"/>
    <w:rPr>
      <w:rFonts w:ascii="Arial" w:hAnsi="Arial"/>
      <w:sz w:val="16"/>
      <w:szCs w:val="16"/>
    </w:rPr>
  </w:style>
  <w:style w:type="character" w:customStyle="1" w:styleId="CharChar2">
    <w:name w:val="Char Char2"/>
    <w:semiHidden/>
    <w:locked/>
    <w:rsid w:val="00CD329F"/>
    <w:rPr>
      <w:rFonts w:ascii="Arial" w:hAnsi="Arial"/>
    </w:rPr>
  </w:style>
  <w:style w:type="paragraph" w:styleId="BalloonText">
    <w:name w:val="Balloon Text"/>
    <w:basedOn w:val="Normal"/>
    <w:link w:val="BalloonTextChar"/>
    <w:uiPriority w:val="99"/>
    <w:locked/>
    <w:rsid w:val="00073B83"/>
    <w:rPr>
      <w:sz w:val="18"/>
    </w:rPr>
  </w:style>
  <w:style w:type="paragraph" w:styleId="Footer">
    <w:name w:val="footer"/>
    <w:basedOn w:val="Normal"/>
    <w:link w:val="FooterChar"/>
    <w:uiPriority w:val="99"/>
    <w:rsid w:val="00080500"/>
    <w:pPr>
      <w:tabs>
        <w:tab w:val="center" w:pos="4153"/>
        <w:tab w:val="right" w:pos="8306"/>
      </w:tabs>
      <w:jc w:val="center"/>
    </w:pPr>
    <w:rPr>
      <w:sz w:val="24"/>
      <w:szCs w:val="24"/>
    </w:rPr>
  </w:style>
  <w:style w:type="character" w:styleId="PageNumber">
    <w:name w:val="page number"/>
    <w:locked/>
    <w:rsid w:val="00073B83"/>
    <w:rPr>
      <w:rFonts w:ascii="Arial" w:hAnsi="Arial"/>
    </w:rPr>
  </w:style>
  <w:style w:type="paragraph" w:customStyle="1" w:styleId="SGBodytext">
    <w:name w:val="SG Body text"/>
    <w:autoRedefine/>
    <w:qFormat/>
    <w:rsid w:val="00402D02"/>
    <w:pPr>
      <w:spacing w:after="240" w:line="300" w:lineRule="exact"/>
    </w:pPr>
    <w:rPr>
      <w:rFonts w:eastAsia="Times New Roman" w:cs="Arial"/>
      <w:noProof/>
      <w:sz w:val="24"/>
      <w:szCs w:val="24"/>
      <w:lang w:val="en-GB" w:eastAsia="en-GB"/>
    </w:rPr>
  </w:style>
  <w:style w:type="paragraph" w:customStyle="1" w:styleId="SGNumbered">
    <w:name w:val="SG Numbered"/>
    <w:autoRedefine/>
    <w:qFormat/>
    <w:rsid w:val="00AA68EC"/>
    <w:pPr>
      <w:numPr>
        <w:numId w:val="3"/>
      </w:numPr>
      <w:spacing w:after="240" w:line="300" w:lineRule="exact"/>
      <w:ind w:left="714" w:hanging="357"/>
    </w:pPr>
    <w:rPr>
      <w:rFonts w:eastAsia="Times New Roman"/>
      <w:sz w:val="26"/>
      <w:lang w:val="en-GB"/>
    </w:rPr>
  </w:style>
  <w:style w:type="paragraph" w:customStyle="1" w:styleId="SGBullet">
    <w:name w:val="SG Bullet"/>
    <w:autoRedefine/>
    <w:qFormat/>
    <w:rsid w:val="006F0C6A"/>
    <w:pPr>
      <w:numPr>
        <w:numId w:val="2"/>
      </w:numPr>
      <w:spacing w:after="120" w:line="300" w:lineRule="exact"/>
      <w:ind w:left="636" w:hanging="318"/>
    </w:pPr>
    <w:rPr>
      <w:rFonts w:eastAsia="Times New Roman"/>
      <w:sz w:val="26"/>
      <w:lang w:val="en-GB"/>
    </w:rPr>
  </w:style>
  <w:style w:type="table" w:styleId="Table3Deffects2">
    <w:name w:val="Table 3D effects 2"/>
    <w:basedOn w:val="TableNormal"/>
    <w:locked/>
    <w:rsid w:val="004009E7"/>
    <w:pPr>
      <w:tabs>
        <w:tab w:val="left" w:pos="720"/>
        <w:tab w:val="left" w:pos="1440"/>
        <w:tab w:val="left" w:pos="2160"/>
        <w:tab w:val="left" w:pos="2880"/>
        <w:tab w:val="left" w:pos="4680"/>
        <w:tab w:val="left" w:pos="5400"/>
        <w:tab w:val="right" w:pos="9000"/>
      </w:tabs>
      <w:spacing w:line="240" w:lineRule="atLeast"/>
      <w:jc w:val="both"/>
    </w:p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1">
    <w:name w:val="Table 3D effects 1"/>
    <w:basedOn w:val="TableNormal"/>
    <w:locked/>
    <w:rsid w:val="004009E7"/>
    <w:pPr>
      <w:tabs>
        <w:tab w:val="left" w:pos="720"/>
        <w:tab w:val="left" w:pos="1440"/>
        <w:tab w:val="left" w:pos="2160"/>
        <w:tab w:val="left" w:pos="2880"/>
        <w:tab w:val="left" w:pos="4680"/>
        <w:tab w:val="left" w:pos="5400"/>
        <w:tab w:val="right" w:pos="9000"/>
      </w:tabs>
      <w:spacing w:line="240" w:lineRule="atLeast"/>
      <w:jc w:val="both"/>
    </w:p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paragraph" w:customStyle="1" w:styleId="ExecSummaryBodyText">
    <w:name w:val="Exec Summary Body Text"/>
    <w:basedOn w:val="Normal"/>
    <w:semiHidden/>
    <w:locked/>
    <w:rsid w:val="00CD329F"/>
    <w:pPr>
      <w:numPr>
        <w:numId w:val="1"/>
      </w:numPr>
      <w:spacing w:after="240"/>
    </w:pPr>
  </w:style>
  <w:style w:type="character" w:styleId="Hyperlink">
    <w:name w:val="Hyperlink"/>
    <w:basedOn w:val="DefaultParagraphFont"/>
    <w:uiPriority w:val="99"/>
    <w:rsid w:val="00E5761E"/>
    <w:rPr>
      <w:rFonts w:ascii="Arial" w:hAnsi="Arial"/>
      <w:color w:val="0000FF" w:themeColor="hyperlink"/>
      <w:u w:val="single"/>
    </w:rPr>
  </w:style>
  <w:style w:type="table" w:styleId="TableGrid">
    <w:name w:val="Table Grid"/>
    <w:aliases w:val="SG Table 1"/>
    <w:basedOn w:val="TableNormal"/>
    <w:rsid w:val="00BE7184"/>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142" w:type="dxa"/>
        <w:left w:w="142" w:type="dxa"/>
        <w:bottom w:w="142" w:type="dxa"/>
        <w:right w:w="142" w:type="dxa"/>
      </w:tblCellMar>
    </w:tblPr>
  </w:style>
  <w:style w:type="paragraph" w:styleId="Header">
    <w:name w:val="header"/>
    <w:basedOn w:val="Normal"/>
    <w:link w:val="HeaderChar"/>
    <w:rsid w:val="00E5761E"/>
    <w:pPr>
      <w:tabs>
        <w:tab w:val="clear" w:pos="720"/>
        <w:tab w:val="clear" w:pos="1440"/>
        <w:tab w:val="clear" w:pos="2160"/>
        <w:tab w:val="clear" w:pos="2880"/>
        <w:tab w:val="clear" w:pos="4680"/>
        <w:tab w:val="clear" w:pos="5400"/>
        <w:tab w:val="clear" w:pos="9000"/>
        <w:tab w:val="center" w:pos="4513"/>
        <w:tab w:val="right" w:pos="9026"/>
      </w:tabs>
      <w:spacing w:line="240" w:lineRule="auto"/>
    </w:pPr>
  </w:style>
  <w:style w:type="character" w:customStyle="1" w:styleId="SGBoldCharacter">
    <w:name w:val="SG Bold (Character)"/>
    <w:basedOn w:val="DefaultParagraphFont"/>
    <w:uiPriority w:val="1"/>
    <w:qFormat/>
    <w:rsid w:val="00CB3BDD"/>
    <w:rPr>
      <w:rFonts w:ascii="Arial" w:hAnsi="Arial"/>
      <w:b/>
    </w:rPr>
  </w:style>
  <w:style w:type="character" w:customStyle="1" w:styleId="SGItalicCharacter">
    <w:name w:val="SG Italic (Character)"/>
    <w:uiPriority w:val="1"/>
    <w:qFormat/>
    <w:rsid w:val="004A1C5D"/>
    <w:rPr>
      <w:rFonts w:ascii="Arial" w:hAnsi="Arial"/>
      <w:b w:val="0"/>
      <w:i/>
    </w:rPr>
  </w:style>
  <w:style w:type="character" w:customStyle="1" w:styleId="SGBoldItalicCharacter">
    <w:name w:val="SG Bold Italic (Character)"/>
    <w:basedOn w:val="SGItalicCharacter"/>
    <w:uiPriority w:val="1"/>
    <w:qFormat/>
    <w:rsid w:val="004A1C5D"/>
    <w:rPr>
      <w:rFonts w:ascii="Arial" w:hAnsi="Arial"/>
      <w:b/>
      <w:i/>
    </w:rPr>
  </w:style>
  <w:style w:type="character" w:customStyle="1" w:styleId="HeaderChar">
    <w:name w:val="Header Char"/>
    <w:basedOn w:val="DefaultParagraphFont"/>
    <w:link w:val="Header"/>
    <w:rsid w:val="00E5761E"/>
    <w:rPr>
      <w:rFonts w:ascii="Arial" w:eastAsia="Times New Roman" w:hAnsi="Arial"/>
      <w:sz w:val="24"/>
      <w:lang w:val="en-GB"/>
    </w:rPr>
  </w:style>
  <w:style w:type="paragraph" w:customStyle="1" w:styleId="SGBodyIndent">
    <w:name w:val="SG Body Indent"/>
    <w:qFormat/>
    <w:rsid w:val="00AA68EC"/>
    <w:pPr>
      <w:spacing w:after="300" w:line="300" w:lineRule="exact"/>
      <w:ind w:left="284"/>
    </w:pPr>
    <w:rPr>
      <w:rFonts w:eastAsia="Times New Roman"/>
      <w:sz w:val="26"/>
      <w:lang w:val="en-GB"/>
    </w:rPr>
  </w:style>
  <w:style w:type="paragraph" w:styleId="NormalWeb">
    <w:name w:val="Normal (Web)"/>
    <w:basedOn w:val="Normal"/>
    <w:locked/>
    <w:rsid w:val="00E5761E"/>
    <w:rPr>
      <w:szCs w:val="24"/>
    </w:rPr>
  </w:style>
  <w:style w:type="table" w:customStyle="1" w:styleId="SGTable2">
    <w:name w:val="SG Table 2"/>
    <w:basedOn w:val="TableNormal"/>
    <w:uiPriority w:val="99"/>
    <w:qFormat/>
    <w:rsid w:val="00BE7184"/>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142" w:type="dxa"/>
        <w:left w:w="142" w:type="dxa"/>
        <w:bottom w:w="142" w:type="dxa"/>
        <w:right w:w="142" w:type="dxa"/>
      </w:tblCellMar>
    </w:tblPr>
    <w:tcPr>
      <w:shd w:val="clear" w:color="auto" w:fill="BFBFBF" w:themeFill="background1" w:themeFillShade="BF"/>
    </w:tcPr>
    <w:tblStylePr w:type="firstRow">
      <w:rPr>
        <w:color w:val="000000" w:themeColor="text1"/>
      </w:rPr>
      <w:tblPr/>
      <w:tcPr>
        <w:shd w:val="clear" w:color="auto" w:fill="A6A6A6" w:themeFill="background1" w:themeFillShade="A6"/>
      </w:tcPr>
    </w:tblStylePr>
    <w:tblStylePr w:type="lastRow">
      <w:tblPr/>
      <w:tcPr>
        <w:shd w:val="clear" w:color="auto" w:fill="BFBFBF" w:themeFill="background1" w:themeFillShade="BF"/>
      </w:tcPr>
    </w:tblStylePr>
    <w:tblStylePr w:type="firstCol">
      <w:tblPr/>
      <w:tcPr>
        <w:shd w:val="clear" w:color="auto" w:fill="BFBFBF" w:themeFill="background1" w:themeFillShade="BF"/>
      </w:tcPr>
    </w:tblStylePr>
    <w:tblStylePr w:type="lastCol">
      <w:rPr>
        <w:rFonts w:ascii="Arial" w:hAnsi="Arial"/>
        <w:sz w:val="20"/>
      </w:rPr>
      <w:tblPr/>
      <w:tcPr>
        <w:shd w:val="clear" w:color="auto" w:fill="BFBFBF" w:themeFill="background1"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customStyle="1" w:styleId="SGTableHeader">
    <w:name w:val="SG Table Header"/>
    <w:qFormat/>
    <w:rsid w:val="00AA68EC"/>
    <w:pPr>
      <w:spacing w:line="240" w:lineRule="exact"/>
    </w:pPr>
    <w:rPr>
      <w:rFonts w:eastAsia="Times New Roman"/>
      <w:b/>
      <w:sz w:val="22"/>
      <w:lang w:val="en-GB"/>
    </w:rPr>
  </w:style>
  <w:style w:type="paragraph" w:customStyle="1" w:styleId="SGTableText">
    <w:name w:val="SG Table Text"/>
    <w:qFormat/>
    <w:rsid w:val="00AA68EC"/>
    <w:pPr>
      <w:spacing w:line="240" w:lineRule="exact"/>
    </w:pPr>
    <w:rPr>
      <w:rFonts w:eastAsia="Times New Roman"/>
      <w:sz w:val="22"/>
      <w:lang w:val="en-GB"/>
    </w:rPr>
  </w:style>
  <w:style w:type="character" w:customStyle="1" w:styleId="Clearbold">
    <w:name w:val="Clear bold"/>
    <w:aliases w:val="italic &amp; bolditalic"/>
    <w:basedOn w:val="DefaultParagraphFont"/>
    <w:uiPriority w:val="1"/>
    <w:rsid w:val="00CD3239"/>
    <w:rPr>
      <w:rFonts w:ascii="Arial" w:hAnsi="Arial"/>
    </w:rPr>
  </w:style>
  <w:style w:type="paragraph" w:customStyle="1" w:styleId="SGboxtext">
    <w:name w:val="SG box text"/>
    <w:basedOn w:val="SGBodytext"/>
    <w:qFormat/>
    <w:rsid w:val="002F0E89"/>
    <w:pPr>
      <w:pBdr>
        <w:top w:val="single" w:sz="4" w:space="4" w:color="000000" w:themeColor="text1"/>
        <w:left w:val="single" w:sz="4" w:space="4" w:color="000000" w:themeColor="text1"/>
        <w:bottom w:val="single" w:sz="4" w:space="4" w:color="000000" w:themeColor="text1"/>
        <w:right w:val="single" w:sz="4" w:space="4" w:color="000000" w:themeColor="text1"/>
      </w:pBdr>
    </w:pPr>
    <w:rPr>
      <w:b/>
    </w:rPr>
  </w:style>
  <w:style w:type="paragraph" w:customStyle="1" w:styleId="SGRightItalic">
    <w:name w:val="SG Right Italic"/>
    <w:basedOn w:val="SGboxtext"/>
    <w:rsid w:val="00AA68EC"/>
    <w:pPr>
      <w:pBdr>
        <w:top w:val="none" w:sz="0" w:space="0" w:color="auto"/>
        <w:left w:val="none" w:sz="0" w:space="0" w:color="auto"/>
        <w:bottom w:val="none" w:sz="0" w:space="0" w:color="auto"/>
        <w:right w:val="none" w:sz="0" w:space="0" w:color="auto"/>
      </w:pBdr>
      <w:jc w:val="right"/>
    </w:pPr>
    <w:rPr>
      <w:i/>
    </w:rPr>
  </w:style>
  <w:style w:type="paragraph" w:customStyle="1" w:styleId="SGRightBold">
    <w:name w:val="SG Right Bold"/>
    <w:basedOn w:val="SGBodytext"/>
    <w:rsid w:val="00AA68EC"/>
    <w:pPr>
      <w:jc w:val="right"/>
    </w:pPr>
    <w:rPr>
      <w:b/>
    </w:rPr>
  </w:style>
  <w:style w:type="paragraph" w:customStyle="1" w:styleId="SGBoxtextShaded">
    <w:name w:val="SG Box text Shaded"/>
    <w:basedOn w:val="SGboxtext"/>
    <w:rsid w:val="00B051EC"/>
    <w:pPr>
      <w:shd w:val="clear" w:color="auto" w:fill="CCD9E0"/>
    </w:pPr>
  </w:style>
  <w:style w:type="character" w:customStyle="1" w:styleId="Heading1Char">
    <w:name w:val="Heading 1 Char"/>
    <w:aliases w:val="Outline1 Char"/>
    <w:basedOn w:val="DefaultParagraphFont"/>
    <w:link w:val="Heading1"/>
    <w:rsid w:val="0066182C"/>
    <w:rPr>
      <w:rFonts w:eastAsia="Times New Roman"/>
      <w:b/>
      <w:sz w:val="44"/>
    </w:rPr>
  </w:style>
  <w:style w:type="paragraph" w:styleId="TOC1">
    <w:name w:val="toc 1"/>
    <w:aliases w:val="SG TOC 1"/>
    <w:basedOn w:val="Normal"/>
    <w:next w:val="Normal"/>
    <w:autoRedefine/>
    <w:uiPriority w:val="39"/>
    <w:rsid w:val="00885896"/>
    <w:pPr>
      <w:tabs>
        <w:tab w:val="clear" w:pos="720"/>
        <w:tab w:val="clear" w:pos="1440"/>
        <w:tab w:val="clear" w:pos="2160"/>
        <w:tab w:val="clear" w:pos="2880"/>
        <w:tab w:val="clear" w:pos="4680"/>
        <w:tab w:val="clear" w:pos="5400"/>
        <w:tab w:val="clear" w:pos="9000"/>
        <w:tab w:val="right" w:leader="dot" w:pos="9639"/>
      </w:tabs>
      <w:spacing w:after="100" w:line="300" w:lineRule="atLeast"/>
    </w:pPr>
    <w:rPr>
      <w:b/>
      <w:noProof/>
    </w:rPr>
  </w:style>
  <w:style w:type="paragraph" w:styleId="TOC2">
    <w:name w:val="toc 2"/>
    <w:aliases w:val="SG TOC 2"/>
    <w:basedOn w:val="Normal"/>
    <w:next w:val="Normal"/>
    <w:autoRedefine/>
    <w:uiPriority w:val="39"/>
    <w:rsid w:val="00885896"/>
    <w:pPr>
      <w:tabs>
        <w:tab w:val="clear" w:pos="720"/>
        <w:tab w:val="clear" w:pos="1440"/>
        <w:tab w:val="clear" w:pos="2160"/>
        <w:tab w:val="clear" w:pos="2880"/>
        <w:tab w:val="clear" w:pos="4680"/>
        <w:tab w:val="clear" w:pos="5400"/>
        <w:tab w:val="clear" w:pos="9000"/>
        <w:tab w:val="right" w:leader="dot" w:pos="9639"/>
      </w:tabs>
      <w:spacing w:after="100" w:line="300" w:lineRule="atLeast"/>
      <w:ind w:left="284"/>
    </w:pPr>
  </w:style>
  <w:style w:type="paragraph" w:styleId="TOC3">
    <w:name w:val="toc 3"/>
    <w:aliases w:val="SG TOC 3"/>
    <w:basedOn w:val="TOC1"/>
    <w:next w:val="Normal"/>
    <w:autoRedefine/>
    <w:uiPriority w:val="39"/>
    <w:rsid w:val="00D21CCF"/>
    <w:pPr>
      <w:spacing w:after="120" w:line="300" w:lineRule="exact"/>
      <w:ind w:left="567"/>
    </w:pPr>
    <w:rPr>
      <w:b w:val="0"/>
      <w:color w:val="000000" w:themeColor="text1"/>
    </w:rPr>
  </w:style>
  <w:style w:type="paragraph" w:styleId="Index1">
    <w:name w:val="index 1"/>
    <w:basedOn w:val="Normal"/>
    <w:next w:val="Normal"/>
    <w:autoRedefine/>
    <w:rsid w:val="00AA68EC"/>
    <w:pPr>
      <w:tabs>
        <w:tab w:val="clear" w:pos="720"/>
        <w:tab w:val="clear" w:pos="1440"/>
        <w:tab w:val="clear" w:pos="2160"/>
        <w:tab w:val="clear" w:pos="2880"/>
        <w:tab w:val="clear" w:pos="4680"/>
        <w:tab w:val="clear" w:pos="5400"/>
        <w:tab w:val="clear" w:pos="9000"/>
      </w:tabs>
      <w:spacing w:line="300" w:lineRule="exact"/>
      <w:ind w:left="198" w:hanging="198"/>
    </w:pPr>
  </w:style>
  <w:style w:type="paragraph" w:styleId="Index2">
    <w:name w:val="index 2"/>
    <w:basedOn w:val="Normal"/>
    <w:next w:val="Normal"/>
    <w:autoRedefine/>
    <w:rsid w:val="00AA68EC"/>
    <w:pPr>
      <w:tabs>
        <w:tab w:val="clear" w:pos="720"/>
        <w:tab w:val="clear" w:pos="1440"/>
        <w:tab w:val="clear" w:pos="2160"/>
        <w:tab w:val="clear" w:pos="2880"/>
        <w:tab w:val="clear" w:pos="4680"/>
        <w:tab w:val="clear" w:pos="5400"/>
        <w:tab w:val="clear" w:pos="9000"/>
      </w:tabs>
      <w:spacing w:line="300" w:lineRule="exact"/>
      <w:ind w:left="396" w:hanging="198"/>
    </w:pPr>
  </w:style>
  <w:style w:type="paragraph" w:styleId="Index3">
    <w:name w:val="index 3"/>
    <w:basedOn w:val="Normal"/>
    <w:next w:val="Normal"/>
    <w:autoRedefine/>
    <w:rsid w:val="00AA68EC"/>
    <w:pPr>
      <w:tabs>
        <w:tab w:val="clear" w:pos="720"/>
        <w:tab w:val="clear" w:pos="1440"/>
        <w:tab w:val="clear" w:pos="2160"/>
        <w:tab w:val="clear" w:pos="2880"/>
        <w:tab w:val="clear" w:pos="4680"/>
        <w:tab w:val="clear" w:pos="5400"/>
        <w:tab w:val="clear" w:pos="9000"/>
      </w:tabs>
      <w:spacing w:line="300" w:lineRule="exact"/>
      <w:ind w:left="601" w:hanging="198"/>
    </w:pPr>
  </w:style>
  <w:style w:type="paragraph" w:styleId="Index4">
    <w:name w:val="index 4"/>
    <w:basedOn w:val="Normal"/>
    <w:next w:val="Normal"/>
    <w:autoRedefine/>
    <w:rsid w:val="00AA68EC"/>
    <w:pPr>
      <w:tabs>
        <w:tab w:val="clear" w:pos="720"/>
        <w:tab w:val="clear" w:pos="1440"/>
        <w:tab w:val="clear" w:pos="2160"/>
        <w:tab w:val="clear" w:pos="2880"/>
        <w:tab w:val="clear" w:pos="4680"/>
        <w:tab w:val="clear" w:pos="5400"/>
        <w:tab w:val="clear" w:pos="9000"/>
      </w:tabs>
      <w:spacing w:line="240" w:lineRule="auto"/>
      <w:ind w:left="800" w:hanging="200"/>
    </w:pPr>
  </w:style>
  <w:style w:type="character" w:customStyle="1" w:styleId="Heading2Char">
    <w:name w:val="Heading 2 Char"/>
    <w:aliases w:val="Outline2 Char"/>
    <w:basedOn w:val="DefaultParagraphFont"/>
    <w:link w:val="Heading2"/>
    <w:rsid w:val="006C2CF8"/>
    <w:rPr>
      <w:rFonts w:eastAsia="Times New Roman"/>
      <w:b/>
      <w:sz w:val="30"/>
      <w:lang w:val="en-GB"/>
    </w:rPr>
  </w:style>
  <w:style w:type="character" w:customStyle="1" w:styleId="Heading3Char">
    <w:name w:val="Heading 3 Char"/>
    <w:aliases w:val="Outline3 Char"/>
    <w:basedOn w:val="DefaultParagraphFont"/>
    <w:link w:val="Heading3"/>
    <w:rsid w:val="00AA2092"/>
    <w:rPr>
      <w:rFonts w:eastAsia="Times New Roman"/>
      <w:b/>
      <w:sz w:val="26"/>
      <w:lang w:val="en-GB"/>
    </w:rPr>
  </w:style>
  <w:style w:type="character" w:customStyle="1" w:styleId="Heading4Char">
    <w:name w:val="Heading 4 Char"/>
    <w:basedOn w:val="DefaultParagraphFont"/>
    <w:link w:val="Heading4"/>
    <w:semiHidden/>
    <w:rsid w:val="009A21D7"/>
    <w:rPr>
      <w:rFonts w:eastAsiaTheme="majorEastAsia" w:cstheme="majorBidi"/>
      <w:b/>
      <w:bCs/>
      <w:i/>
      <w:iCs/>
    </w:rPr>
  </w:style>
  <w:style w:type="character" w:customStyle="1" w:styleId="Heading5Char">
    <w:name w:val="Heading 5 Char"/>
    <w:basedOn w:val="DefaultParagraphFont"/>
    <w:link w:val="Heading5"/>
    <w:semiHidden/>
    <w:rsid w:val="009A21D7"/>
    <w:rPr>
      <w:rFonts w:eastAsiaTheme="majorEastAsia" w:cstheme="majorBidi"/>
      <w:color w:val="000000" w:themeColor="text1"/>
    </w:rPr>
  </w:style>
  <w:style w:type="character" w:customStyle="1" w:styleId="Heading6Char">
    <w:name w:val="Heading 6 Char"/>
    <w:basedOn w:val="DefaultParagraphFont"/>
    <w:link w:val="Heading6"/>
    <w:semiHidden/>
    <w:rsid w:val="009A21D7"/>
    <w:rPr>
      <w:rFonts w:eastAsiaTheme="majorEastAsia" w:cstheme="majorBidi"/>
      <w:i/>
      <w:iCs/>
      <w:color w:val="000000" w:themeColor="text1"/>
    </w:rPr>
  </w:style>
  <w:style w:type="character" w:customStyle="1" w:styleId="Heading7Char">
    <w:name w:val="Heading 7 Char"/>
    <w:basedOn w:val="DefaultParagraphFont"/>
    <w:link w:val="Heading7"/>
    <w:semiHidden/>
    <w:rsid w:val="009A21D7"/>
    <w:rPr>
      <w:rFonts w:eastAsiaTheme="majorEastAsia" w:cstheme="majorBidi"/>
      <w:i/>
      <w:iCs/>
      <w:color w:val="000000" w:themeColor="text1"/>
    </w:rPr>
  </w:style>
  <w:style w:type="character" w:customStyle="1" w:styleId="Heading8Char">
    <w:name w:val="Heading 8 Char"/>
    <w:basedOn w:val="DefaultParagraphFont"/>
    <w:link w:val="Heading8"/>
    <w:semiHidden/>
    <w:rsid w:val="009A21D7"/>
    <w:rPr>
      <w:rFonts w:eastAsiaTheme="majorEastAsia" w:cstheme="majorBidi"/>
      <w:color w:val="000000" w:themeColor="text1"/>
    </w:rPr>
  </w:style>
  <w:style w:type="character" w:customStyle="1" w:styleId="Heading9Char">
    <w:name w:val="Heading 9 Char"/>
    <w:basedOn w:val="DefaultParagraphFont"/>
    <w:link w:val="Heading9"/>
    <w:semiHidden/>
    <w:rsid w:val="009A21D7"/>
    <w:rPr>
      <w:rFonts w:eastAsiaTheme="majorEastAsia" w:cstheme="majorBidi"/>
      <w:i/>
      <w:iCs/>
      <w:color w:val="000000" w:themeColor="text1"/>
    </w:rPr>
  </w:style>
  <w:style w:type="paragraph" w:styleId="ListParagraph">
    <w:name w:val="List Paragraph"/>
    <w:aliases w:val="Dot pt,No Spacing1,List Paragraph Char Char Char,Indicator Text,Numbered Para 1,List Paragraph1,Bullet 1,Bullet Points,MAIN CONTENT"/>
    <w:basedOn w:val="Normal"/>
    <w:link w:val="ListParagraphChar"/>
    <w:uiPriority w:val="34"/>
    <w:qFormat/>
    <w:locked/>
    <w:rsid w:val="0062349D"/>
    <w:pPr>
      <w:ind w:left="720"/>
      <w:contextualSpacing/>
    </w:pPr>
  </w:style>
  <w:style w:type="paragraph" w:customStyle="1" w:styleId="Heading1blue">
    <w:name w:val="Heading 1 blue"/>
    <w:basedOn w:val="Heading1"/>
    <w:rsid w:val="00982A95"/>
    <w:rPr>
      <w:color w:val="064367"/>
    </w:rPr>
  </w:style>
  <w:style w:type="paragraph" w:customStyle="1" w:styleId="Heading2blue">
    <w:name w:val="Heading 2 blue"/>
    <w:basedOn w:val="Heading2"/>
    <w:next w:val="SGBodytext"/>
    <w:rsid w:val="00982A95"/>
    <w:rPr>
      <w:color w:val="064367"/>
    </w:rPr>
  </w:style>
  <w:style w:type="paragraph" w:customStyle="1" w:styleId="Heading3blue">
    <w:name w:val="Heading 3 blue"/>
    <w:basedOn w:val="Heading3"/>
    <w:next w:val="SGBodytext"/>
    <w:rsid w:val="00982A95"/>
    <w:rPr>
      <w:color w:val="064367"/>
    </w:rPr>
  </w:style>
  <w:style w:type="paragraph" w:styleId="TOCHeading">
    <w:name w:val="TOC Heading"/>
    <w:basedOn w:val="Heading3blue"/>
    <w:next w:val="Normal"/>
    <w:uiPriority w:val="39"/>
    <w:unhideWhenUsed/>
    <w:qFormat/>
    <w:locked/>
    <w:rsid w:val="00D468CA"/>
    <w:pPr>
      <w:keepNext/>
      <w:keepLines/>
      <w:spacing w:before="480" w:after="0" w:line="276" w:lineRule="auto"/>
      <w:outlineLvl w:val="9"/>
    </w:pPr>
    <w:rPr>
      <w:rFonts w:asciiTheme="majorHAnsi" w:eastAsiaTheme="majorEastAsia" w:hAnsiTheme="majorHAnsi" w:cstheme="majorBidi"/>
      <w:bCs/>
      <w:color w:val="365F91" w:themeColor="accent1" w:themeShade="BF"/>
      <w:sz w:val="28"/>
      <w:szCs w:val="28"/>
      <w:lang w:eastAsia="ja-JP"/>
    </w:rPr>
  </w:style>
  <w:style w:type="paragraph" w:customStyle="1" w:styleId="SGTablebullets">
    <w:name w:val="SG Table bullets"/>
    <w:basedOn w:val="Normal"/>
    <w:qFormat/>
    <w:rsid w:val="00D63487"/>
    <w:pPr>
      <w:numPr>
        <w:numId w:val="4"/>
      </w:numPr>
      <w:tabs>
        <w:tab w:val="clear" w:pos="720"/>
        <w:tab w:val="clear" w:pos="1440"/>
        <w:tab w:val="clear" w:pos="2160"/>
        <w:tab w:val="clear" w:pos="2880"/>
        <w:tab w:val="clear" w:pos="4680"/>
        <w:tab w:val="clear" w:pos="5400"/>
        <w:tab w:val="clear" w:pos="9000"/>
      </w:tabs>
      <w:spacing w:after="40" w:line="240" w:lineRule="exact"/>
      <w:ind w:left="288" w:hanging="288"/>
    </w:pPr>
    <w:rPr>
      <w:rFonts w:eastAsia="Times New Roman"/>
      <w:sz w:val="20"/>
    </w:rPr>
  </w:style>
  <w:style w:type="character" w:styleId="PlaceholderText">
    <w:name w:val="Placeholder Text"/>
    <w:basedOn w:val="DefaultParagraphFont"/>
    <w:uiPriority w:val="99"/>
    <w:semiHidden/>
    <w:locked/>
    <w:rsid w:val="006C2CF8"/>
    <w:rPr>
      <w:color w:val="808080"/>
    </w:rPr>
  </w:style>
  <w:style w:type="paragraph" w:customStyle="1" w:styleId="SGGraphTableTitle">
    <w:name w:val="SG Graph/Table Title"/>
    <w:basedOn w:val="Normal"/>
    <w:next w:val="SGBodytext"/>
    <w:rsid w:val="00583C10"/>
    <w:pPr>
      <w:keepNext/>
      <w:spacing w:before="120" w:after="120"/>
    </w:pPr>
  </w:style>
  <w:style w:type="paragraph" w:customStyle="1" w:styleId="SGTableBody1">
    <w:name w:val="SG Table Body 1"/>
    <w:basedOn w:val="Normal"/>
    <w:rsid w:val="00B051EC"/>
    <w:pPr>
      <w:jc w:val="both"/>
    </w:pPr>
    <w:rPr>
      <w:rFonts w:cs="Arial"/>
      <w:sz w:val="20"/>
      <w:szCs w:val="18"/>
    </w:rPr>
  </w:style>
  <w:style w:type="paragraph" w:customStyle="1" w:styleId="SGTableTitle1">
    <w:name w:val="SG Table Title 1"/>
    <w:basedOn w:val="Normal"/>
    <w:rsid w:val="00AD50FD"/>
    <w:rPr>
      <w:rFonts w:cs="Arial"/>
      <w:b/>
      <w:color w:val="FFFFFF" w:themeColor="background1"/>
      <w:sz w:val="18"/>
      <w:szCs w:val="18"/>
    </w:rPr>
  </w:style>
  <w:style w:type="paragraph" w:customStyle="1" w:styleId="SGCentredCharacter">
    <w:name w:val="SG Centred (Character)"/>
    <w:basedOn w:val="SGTableBody1"/>
    <w:rsid w:val="00AD50FD"/>
    <w:pPr>
      <w:jc w:val="center"/>
    </w:pPr>
  </w:style>
  <w:style w:type="table" w:customStyle="1" w:styleId="SGTableStyle1">
    <w:name w:val="SG Table Style 1"/>
    <w:basedOn w:val="TableNormal"/>
    <w:uiPriority w:val="99"/>
    <w:rsid w:val="00745A56"/>
    <w:rPr>
      <w:sz w:val="18"/>
    </w:rPr>
    <w:tblPr>
      <w:tblStyleRowBandSize w:val="1"/>
      <w:tblInd w:w="0" w:type="dxa"/>
      <w:tblBorders>
        <w:top w:val="single" w:sz="4" w:space="0" w:color="auto"/>
        <w:bottom w:val="single" w:sz="4" w:space="0" w:color="auto"/>
        <w:insideH w:val="single" w:sz="4" w:space="0" w:color="auto"/>
      </w:tblBorders>
      <w:tblCellMar>
        <w:top w:w="113" w:type="dxa"/>
        <w:left w:w="108" w:type="dxa"/>
        <w:bottom w:w="113" w:type="dxa"/>
        <w:right w:w="108" w:type="dxa"/>
      </w:tblCellMar>
    </w:tblPr>
    <w:tblStylePr w:type="firstRow">
      <w:pPr>
        <w:wordWrap/>
        <w:spacing w:beforeLines="0" w:before="60" w:beforeAutospacing="0" w:afterLines="0" w:after="60" w:afterAutospacing="0"/>
        <w:jc w:val="left"/>
      </w:pPr>
      <w:rPr>
        <w:rFonts w:ascii="Arial" w:hAnsi="Arial"/>
        <w:color w:val="auto"/>
        <w:sz w:val="18"/>
      </w:rPr>
      <w:tblPr/>
      <w:tcPr>
        <w:shd w:val="clear" w:color="auto" w:fill="EEECE1" w:themeFill="background2"/>
      </w:tcPr>
    </w:tblStylePr>
  </w:style>
  <w:style w:type="paragraph" w:customStyle="1" w:styleId="SGTableHeading1">
    <w:name w:val="SG Table Heading 1"/>
    <w:basedOn w:val="Normal"/>
    <w:rsid w:val="00B051EC"/>
    <w:pPr>
      <w:jc w:val="right"/>
    </w:pPr>
    <w:rPr>
      <w:rFonts w:cs="Arial"/>
      <w:b/>
      <w:sz w:val="20"/>
      <w:szCs w:val="18"/>
    </w:rPr>
  </w:style>
  <w:style w:type="character" w:customStyle="1" w:styleId="FooterChar">
    <w:name w:val="Footer Char"/>
    <w:basedOn w:val="DefaultParagraphFont"/>
    <w:link w:val="Footer"/>
    <w:uiPriority w:val="99"/>
    <w:rsid w:val="00080500"/>
    <w:rPr>
      <w:sz w:val="24"/>
      <w:szCs w:val="24"/>
    </w:rPr>
  </w:style>
  <w:style w:type="paragraph" w:styleId="EndnoteText">
    <w:name w:val="endnote text"/>
    <w:basedOn w:val="Normal"/>
    <w:link w:val="EndnoteTextChar"/>
    <w:uiPriority w:val="99"/>
    <w:unhideWhenUsed/>
    <w:locked/>
    <w:rsid w:val="008A37EC"/>
    <w:pPr>
      <w:spacing w:line="240" w:lineRule="auto"/>
      <w:jc w:val="both"/>
    </w:pPr>
    <w:rPr>
      <w:rFonts w:eastAsia="Times New Roman"/>
      <w:sz w:val="20"/>
    </w:rPr>
  </w:style>
  <w:style w:type="character" w:customStyle="1" w:styleId="EndnoteTextChar">
    <w:name w:val="Endnote Text Char"/>
    <w:basedOn w:val="DefaultParagraphFont"/>
    <w:link w:val="EndnoteText"/>
    <w:uiPriority w:val="99"/>
    <w:rsid w:val="008A37EC"/>
    <w:rPr>
      <w:rFonts w:eastAsia="Times New Roman"/>
      <w:lang w:val="en-GB"/>
    </w:rPr>
  </w:style>
  <w:style w:type="character" w:styleId="EndnoteReference">
    <w:name w:val="endnote reference"/>
    <w:basedOn w:val="DefaultParagraphFont"/>
    <w:uiPriority w:val="99"/>
    <w:unhideWhenUsed/>
    <w:locked/>
    <w:rsid w:val="008A37EC"/>
    <w:rPr>
      <w:vertAlign w:val="superscript"/>
    </w:rPr>
  </w:style>
  <w:style w:type="paragraph" w:styleId="CommentText">
    <w:name w:val="annotation text"/>
    <w:basedOn w:val="Normal"/>
    <w:link w:val="CommentTextChar"/>
    <w:uiPriority w:val="99"/>
    <w:unhideWhenUsed/>
    <w:locked/>
    <w:rsid w:val="008A37EC"/>
    <w:pPr>
      <w:spacing w:line="240" w:lineRule="auto"/>
      <w:jc w:val="both"/>
    </w:pPr>
    <w:rPr>
      <w:rFonts w:eastAsia="Times New Roman"/>
      <w:sz w:val="20"/>
    </w:rPr>
  </w:style>
  <w:style w:type="character" w:customStyle="1" w:styleId="CommentTextChar">
    <w:name w:val="Comment Text Char"/>
    <w:basedOn w:val="DefaultParagraphFont"/>
    <w:link w:val="CommentText"/>
    <w:uiPriority w:val="99"/>
    <w:rsid w:val="008A37EC"/>
    <w:rPr>
      <w:rFonts w:eastAsia="Times New Roman"/>
      <w:lang w:val="en-GB"/>
    </w:rPr>
  </w:style>
  <w:style w:type="paragraph" w:styleId="Title">
    <w:name w:val="Title"/>
    <w:basedOn w:val="Normal"/>
    <w:next w:val="Normal"/>
    <w:link w:val="TitleChar"/>
    <w:uiPriority w:val="10"/>
    <w:qFormat/>
    <w:locked/>
    <w:rsid w:val="008A37EC"/>
    <w:pPr>
      <w:pBdr>
        <w:bottom w:val="single" w:sz="8" w:space="4" w:color="4F81BD" w:themeColor="accent1"/>
      </w:pBdr>
      <w:spacing w:after="300" w:line="240" w:lineRule="auto"/>
      <w:contextualSpacing/>
      <w:jc w:val="both"/>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A37EC"/>
    <w:rPr>
      <w:rFonts w:asciiTheme="majorHAnsi" w:eastAsiaTheme="majorEastAsia" w:hAnsiTheme="majorHAnsi" w:cstheme="majorBidi"/>
      <w:color w:val="17365D" w:themeColor="text2" w:themeShade="BF"/>
      <w:spacing w:val="5"/>
      <w:kern w:val="28"/>
      <w:sz w:val="52"/>
      <w:szCs w:val="52"/>
      <w:lang w:val="en-GB"/>
    </w:rPr>
  </w:style>
  <w:style w:type="paragraph" w:styleId="Bibliography">
    <w:name w:val="Bibliography"/>
    <w:basedOn w:val="Normal"/>
    <w:next w:val="Normal"/>
    <w:uiPriority w:val="37"/>
    <w:unhideWhenUsed/>
    <w:locked/>
    <w:rsid w:val="008A37EC"/>
    <w:pPr>
      <w:jc w:val="both"/>
    </w:pPr>
    <w:rPr>
      <w:rFonts w:eastAsia="Times New Roman"/>
      <w:sz w:val="24"/>
    </w:rPr>
  </w:style>
  <w:style w:type="character" w:customStyle="1" w:styleId="slug-pub-date3">
    <w:name w:val="slug-pub-date3"/>
    <w:basedOn w:val="DefaultParagraphFont"/>
    <w:rsid w:val="008A37EC"/>
    <w:rPr>
      <w:b/>
      <w:bCs/>
    </w:rPr>
  </w:style>
  <w:style w:type="character" w:customStyle="1" w:styleId="slug-vol">
    <w:name w:val="slug-vol"/>
    <w:basedOn w:val="DefaultParagraphFont"/>
    <w:rsid w:val="008A37EC"/>
  </w:style>
  <w:style w:type="character" w:customStyle="1" w:styleId="slug-issue">
    <w:name w:val="slug-issue"/>
    <w:basedOn w:val="DefaultParagraphFont"/>
    <w:rsid w:val="008A37EC"/>
  </w:style>
  <w:style w:type="character" w:customStyle="1" w:styleId="slug-pages3">
    <w:name w:val="slug-pages3"/>
    <w:basedOn w:val="DefaultParagraphFont"/>
    <w:rsid w:val="008A37EC"/>
    <w:rPr>
      <w:b/>
      <w:bCs/>
    </w:rPr>
  </w:style>
  <w:style w:type="numbering" w:customStyle="1" w:styleId="NoList1">
    <w:name w:val="No List1"/>
    <w:next w:val="NoList"/>
    <w:uiPriority w:val="99"/>
    <w:semiHidden/>
    <w:unhideWhenUsed/>
    <w:rsid w:val="008A37EC"/>
  </w:style>
  <w:style w:type="paragraph" w:customStyle="1" w:styleId="Bulletted">
    <w:name w:val="Bulletted"/>
    <w:basedOn w:val="Normal"/>
    <w:next w:val="Normal"/>
    <w:rsid w:val="008A37EC"/>
    <w:pPr>
      <w:numPr>
        <w:numId w:val="9"/>
      </w:numPr>
      <w:tabs>
        <w:tab w:val="left" w:pos="360"/>
        <w:tab w:val="left" w:pos="1080"/>
        <w:tab w:val="left" w:pos="1800"/>
        <w:tab w:val="left" w:pos="3240"/>
      </w:tabs>
      <w:jc w:val="both"/>
    </w:pPr>
    <w:rPr>
      <w:rFonts w:eastAsia="Times New Roman"/>
      <w:sz w:val="24"/>
    </w:rPr>
  </w:style>
  <w:style w:type="paragraph" w:customStyle="1" w:styleId="Outline4">
    <w:name w:val="Outline4"/>
    <w:basedOn w:val="Normal"/>
    <w:next w:val="Normal"/>
    <w:rsid w:val="008A37EC"/>
    <w:pPr>
      <w:ind w:left="2160"/>
      <w:jc w:val="both"/>
    </w:pPr>
    <w:rPr>
      <w:rFonts w:eastAsia="Times New Roman"/>
      <w:kern w:val="24"/>
      <w:sz w:val="24"/>
    </w:rPr>
  </w:style>
  <w:style w:type="paragraph" w:customStyle="1" w:styleId="Outline5">
    <w:name w:val="Outline5"/>
    <w:basedOn w:val="Normal"/>
    <w:next w:val="Normal"/>
    <w:rsid w:val="008A37EC"/>
    <w:pPr>
      <w:ind w:left="720"/>
      <w:jc w:val="both"/>
    </w:pPr>
    <w:rPr>
      <w:rFonts w:eastAsia="Times New Roman"/>
      <w:kern w:val="24"/>
      <w:sz w:val="24"/>
    </w:rPr>
  </w:style>
  <w:style w:type="paragraph" w:customStyle="1" w:styleId="Outline6">
    <w:name w:val="Outline6"/>
    <w:basedOn w:val="Normal"/>
    <w:next w:val="Normal"/>
    <w:rsid w:val="008A37EC"/>
    <w:pPr>
      <w:spacing w:after="240"/>
      <w:ind w:left="2160"/>
      <w:jc w:val="both"/>
    </w:pPr>
    <w:rPr>
      <w:rFonts w:eastAsia="Times New Roman"/>
      <w:kern w:val="24"/>
      <w:sz w:val="24"/>
    </w:rPr>
  </w:style>
  <w:style w:type="paragraph" w:customStyle="1" w:styleId="Outline7">
    <w:name w:val="Outline7"/>
    <w:basedOn w:val="Normal"/>
    <w:next w:val="Normal"/>
    <w:rsid w:val="008A37EC"/>
    <w:pPr>
      <w:spacing w:after="240"/>
      <w:ind w:left="720"/>
      <w:jc w:val="both"/>
    </w:pPr>
    <w:rPr>
      <w:rFonts w:eastAsia="Times New Roman"/>
      <w:kern w:val="24"/>
      <w:sz w:val="24"/>
    </w:rPr>
  </w:style>
  <w:style w:type="character" w:customStyle="1" w:styleId="FootnoteTextChar">
    <w:name w:val="Footnote Text Char"/>
    <w:basedOn w:val="DefaultParagraphFont"/>
    <w:link w:val="FootnoteText"/>
    <w:uiPriority w:val="99"/>
    <w:rsid w:val="008A37EC"/>
    <w:rPr>
      <w:rFonts w:eastAsia="Calibri"/>
      <w:sz w:val="22"/>
    </w:rPr>
  </w:style>
  <w:style w:type="character" w:styleId="FollowedHyperlink">
    <w:name w:val="FollowedHyperlink"/>
    <w:basedOn w:val="DefaultParagraphFont"/>
    <w:uiPriority w:val="99"/>
    <w:unhideWhenUsed/>
    <w:locked/>
    <w:rsid w:val="008A37EC"/>
    <w:rPr>
      <w:color w:val="800080" w:themeColor="followedHyperlink"/>
      <w:u w:val="single"/>
    </w:rPr>
  </w:style>
  <w:style w:type="paragraph" w:styleId="Subtitle">
    <w:name w:val="Subtitle"/>
    <w:basedOn w:val="Normal"/>
    <w:next w:val="Normal"/>
    <w:link w:val="SubtitleChar"/>
    <w:uiPriority w:val="11"/>
    <w:qFormat/>
    <w:locked/>
    <w:rsid w:val="008A37EC"/>
    <w:pPr>
      <w:numPr>
        <w:ilvl w:val="1"/>
      </w:numPr>
      <w:jc w:val="both"/>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8A37EC"/>
    <w:rPr>
      <w:rFonts w:asciiTheme="majorHAnsi" w:eastAsiaTheme="majorEastAsia" w:hAnsiTheme="majorHAnsi" w:cstheme="majorBidi"/>
      <w:i/>
      <w:iCs/>
      <w:color w:val="4F81BD" w:themeColor="accent1"/>
      <w:spacing w:val="15"/>
      <w:sz w:val="24"/>
      <w:szCs w:val="24"/>
      <w:lang w:val="en-GB"/>
    </w:rPr>
  </w:style>
  <w:style w:type="character" w:customStyle="1" w:styleId="BalloonTextChar">
    <w:name w:val="Balloon Text Char"/>
    <w:basedOn w:val="DefaultParagraphFont"/>
    <w:link w:val="BalloonText"/>
    <w:uiPriority w:val="99"/>
    <w:rsid w:val="008A37EC"/>
    <w:rPr>
      <w:sz w:val="18"/>
    </w:rPr>
  </w:style>
  <w:style w:type="character" w:styleId="Strong">
    <w:name w:val="Strong"/>
    <w:basedOn w:val="DefaultParagraphFont"/>
    <w:uiPriority w:val="22"/>
    <w:qFormat/>
    <w:locked/>
    <w:rsid w:val="008A37EC"/>
    <w:rPr>
      <w:b/>
      <w:bCs/>
    </w:rPr>
  </w:style>
  <w:style w:type="paragraph" w:customStyle="1" w:styleId="Default">
    <w:name w:val="Default"/>
    <w:rsid w:val="008A37EC"/>
    <w:pPr>
      <w:autoSpaceDE w:val="0"/>
      <w:autoSpaceDN w:val="0"/>
      <w:adjustRightInd w:val="0"/>
    </w:pPr>
    <w:rPr>
      <w:rFonts w:eastAsia="Times New Roman" w:cs="Arial"/>
      <w:color w:val="000000"/>
      <w:sz w:val="24"/>
      <w:szCs w:val="24"/>
      <w:lang w:val="en-GB" w:eastAsia="en-GB"/>
    </w:rPr>
  </w:style>
  <w:style w:type="paragraph" w:styleId="CommentSubject">
    <w:name w:val="annotation subject"/>
    <w:basedOn w:val="CommentText"/>
    <w:next w:val="CommentText"/>
    <w:link w:val="CommentSubjectChar"/>
    <w:uiPriority w:val="99"/>
    <w:unhideWhenUsed/>
    <w:locked/>
    <w:rsid w:val="008A37EC"/>
    <w:rPr>
      <w:b/>
      <w:bCs/>
    </w:rPr>
  </w:style>
  <w:style w:type="character" w:customStyle="1" w:styleId="CommentSubjectChar">
    <w:name w:val="Comment Subject Char"/>
    <w:basedOn w:val="CommentTextChar"/>
    <w:link w:val="CommentSubject"/>
    <w:uiPriority w:val="99"/>
    <w:rsid w:val="008A37EC"/>
    <w:rPr>
      <w:rFonts w:eastAsia="Times New Roman"/>
      <w:b/>
      <w:bCs/>
      <w:lang w:val="en-GB"/>
    </w:rPr>
  </w:style>
  <w:style w:type="character" w:styleId="Emphasis">
    <w:name w:val="Emphasis"/>
    <w:basedOn w:val="DefaultParagraphFont"/>
    <w:uiPriority w:val="20"/>
    <w:qFormat/>
    <w:locked/>
    <w:rsid w:val="008A37EC"/>
    <w:rPr>
      <w:i/>
      <w:iCs/>
    </w:rPr>
  </w:style>
  <w:style w:type="character" w:styleId="HTMLAcronym">
    <w:name w:val="HTML Acronym"/>
    <w:basedOn w:val="DefaultParagraphFont"/>
    <w:uiPriority w:val="99"/>
    <w:unhideWhenUsed/>
    <w:locked/>
    <w:rsid w:val="008A37EC"/>
    <w:rPr>
      <w:rFonts w:ascii="Times New Roman" w:hAnsi="Times New Roman" w:cs="Times New Roman" w:hint="default"/>
    </w:rPr>
  </w:style>
  <w:style w:type="paragraph" w:styleId="PlainText">
    <w:name w:val="Plain Text"/>
    <w:basedOn w:val="Normal"/>
    <w:link w:val="PlainTextChar"/>
    <w:uiPriority w:val="99"/>
    <w:unhideWhenUsed/>
    <w:locked/>
    <w:rsid w:val="008A37EC"/>
    <w:pPr>
      <w:tabs>
        <w:tab w:val="clear" w:pos="720"/>
        <w:tab w:val="clear" w:pos="1440"/>
        <w:tab w:val="clear" w:pos="2160"/>
        <w:tab w:val="clear" w:pos="2880"/>
        <w:tab w:val="clear" w:pos="4680"/>
        <w:tab w:val="clear" w:pos="5400"/>
        <w:tab w:val="clear" w:pos="9000"/>
      </w:tabs>
      <w:spacing w:line="240" w:lineRule="auto"/>
    </w:pPr>
    <w:rPr>
      <w:rFonts w:eastAsiaTheme="minorHAnsi" w:cstheme="minorBidi"/>
      <w:sz w:val="24"/>
      <w:szCs w:val="21"/>
    </w:rPr>
  </w:style>
  <w:style w:type="character" w:customStyle="1" w:styleId="PlainTextChar">
    <w:name w:val="Plain Text Char"/>
    <w:basedOn w:val="DefaultParagraphFont"/>
    <w:link w:val="PlainText"/>
    <w:uiPriority w:val="99"/>
    <w:rsid w:val="008A37EC"/>
    <w:rPr>
      <w:rFonts w:eastAsiaTheme="minorHAnsi" w:cstheme="minorBidi"/>
      <w:sz w:val="24"/>
      <w:szCs w:val="21"/>
      <w:lang w:val="en-GB"/>
    </w:rPr>
  </w:style>
  <w:style w:type="character" w:customStyle="1" w:styleId="A2">
    <w:name w:val="A2"/>
    <w:uiPriority w:val="99"/>
    <w:rsid w:val="008A37EC"/>
    <w:rPr>
      <w:rFonts w:cs="Unit"/>
      <w:color w:val="000000"/>
      <w:sz w:val="20"/>
      <w:szCs w:val="20"/>
    </w:rPr>
  </w:style>
  <w:style w:type="character" w:styleId="IntenseEmphasis">
    <w:name w:val="Intense Emphasis"/>
    <w:basedOn w:val="DefaultParagraphFont"/>
    <w:uiPriority w:val="21"/>
    <w:qFormat/>
    <w:locked/>
    <w:rsid w:val="008A37EC"/>
    <w:rPr>
      <w:rFonts w:ascii="Arial" w:hAnsi="Arial" w:cs="Arial"/>
      <w:b/>
      <w:bCs/>
      <w:sz w:val="28"/>
      <w:szCs w:val="28"/>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
    <w:link w:val="ListParagraph"/>
    <w:uiPriority w:val="34"/>
    <w:locked/>
    <w:rsid w:val="008A37EC"/>
    <w:rPr>
      <w:sz w:val="26"/>
    </w:rPr>
  </w:style>
  <w:style w:type="table" w:customStyle="1" w:styleId="TableGrid1">
    <w:name w:val="Table Grid1"/>
    <w:basedOn w:val="TableNormal"/>
    <w:next w:val="TableGrid"/>
    <w:uiPriority w:val="59"/>
    <w:rsid w:val="0008408A"/>
    <w:rPr>
      <w:rFonts w:eastAsia="Times New Roman"/>
      <w:sz w:val="24"/>
      <w:lang w:val="en-GB"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5588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Relationships xmlns="http://schemas.openxmlformats.org/package/2006/relationships"><Relationship Id="rId1" Target="customizations.xml" Type="http://schemas.microsoft.com/office/2006/relationships/keyMapCustomizations"/><Relationship Id="rId10" Target="footer1.xml" Type="http://schemas.openxmlformats.org/officeDocument/2006/relationships/footer"/><Relationship Id="rId11" Target="footer2.xml" Type="http://schemas.openxmlformats.org/officeDocument/2006/relationships/footer"/><Relationship Id="rId12" Target="media/image1.png" Type="http://schemas.openxmlformats.org/officeDocument/2006/relationships/image"/><Relationship Id="rId13" Target="media/image2.png" Type="http://schemas.openxmlformats.org/officeDocument/2006/relationships/image"/><Relationship Id="rId14" Target="media/image3.png" Type="http://schemas.openxmlformats.org/officeDocument/2006/relationships/image"/><Relationship Id="rId15" Target="http://www.csc-scc.gc.ca/women/002002-0002-eng.shtml" TargetMode="External" Type="http://schemas.openxmlformats.org/officeDocument/2006/relationships/hyperlink"/><Relationship Id="rId16" Target="media/image4.png" Type="http://schemas.openxmlformats.org/officeDocument/2006/relationships/image"/><Relationship Id="rId17" Target="http://www.prisonstudies.org/" TargetMode="External" Type="http://schemas.openxmlformats.org/officeDocument/2006/relationships/hyperlink"/><Relationship Id="rId18" Target="http://www.internationalpenalandpenitentiaryfoundation.org/Site/anglais/anglais.htm" TargetMode="External" Type="http://schemas.openxmlformats.org/officeDocument/2006/relationships/hyperlink"/><Relationship Id="rId19" Target="http://www.iprt.ie/" TargetMode="External" Type="http://schemas.openxmlformats.org/officeDocument/2006/relationships/hyperlink"/><Relationship Id="rId2" Target="../customXml/item1.xml" Type="http://schemas.openxmlformats.org/officeDocument/2006/relationships/customXml"/><Relationship Id="rId20" Target="http://www.penalreform.org/priorities/women-in-the-criminal-justice-system/" TargetMode="External" Type="http://schemas.openxmlformats.org/officeDocument/2006/relationships/hyperlink"/><Relationship Id="rId21" Target="http://www.prisonreformtrust.org.uk/ProjectsResearch/Women" TargetMode="External" Type="http://schemas.openxmlformats.org/officeDocument/2006/relationships/hyperlink"/><Relationship Id="rId22" Target="http://www.crim.cam.ac.uk/research/prc/" TargetMode="External" Type="http://schemas.openxmlformats.org/officeDocument/2006/relationships/hyperlink"/><Relationship Id="rId23" Target="http://www.crimeandjustice.org.uk/publications/psj" TargetMode="External" Type="http://schemas.openxmlformats.org/officeDocument/2006/relationships/hyperlink"/><Relationship Id="rId24" Target="http://www.sccjr.ac.uk/" TargetMode="External" Type="http://schemas.openxmlformats.org/officeDocument/2006/relationships/hyperlink"/><Relationship Id="rId25" Target="http://www.penalreform.org/resource/women-criminal-justice-system-key-external-resources/" TargetMode="External" Type="http://schemas.openxmlformats.org/officeDocument/2006/relationships/hyperlink"/><Relationship Id="rId26" Target="http://www.prisonstudies.org/research-publications?shs_term_node_tid_depth=27" TargetMode="External" Type="http://schemas.openxmlformats.org/officeDocument/2006/relationships/hyperlink"/><Relationship Id="rId27" Target="http://www.gov.scot/Topics/Statistics/Browse/Crime-Justice/Datasets/DatasetsCrimProc" TargetMode="External" Type="http://schemas.openxmlformats.org/officeDocument/2006/relationships/hyperlink"/><Relationship Id="rId28" Target="http://www.gov.scot/Topics/Statistics/Browse/Crime-Justice/Datasets/PrisonsDatasets" TargetMode="External" Type="http://schemas.openxmlformats.org/officeDocument/2006/relationships/hyperlink"/><Relationship Id="rId29" Target="http://www.sps.gov.uk/Corporate/Information/SPSPopulation.aspx" TargetMode="External" Type="http://schemas.openxmlformats.org/officeDocument/2006/relationships/hyperlink"/><Relationship Id="rId3" Target="numbering.xml" Type="http://schemas.openxmlformats.org/officeDocument/2006/relationships/numbering"/><Relationship Id="rId30" Target="http://www.sps.gov.uk/Corporate/Publications/PrisonerSurvey2013FemaleOffenders.aspx" TargetMode="External" Type="http://schemas.openxmlformats.org/officeDocument/2006/relationships/hyperlink"/><Relationship Id="rId31" Target="https://pure.strath.ac.uk/portal/en/projects/regulating-justice-the-dynamics-of-compliance-and-breach-in-criminal-justice-social-work-in-scotland%28e32e75bf-359b-4748-9984-1b389f7cc2d4%29.html" TargetMode="External" Type="http://schemas.openxmlformats.org/officeDocument/2006/relationships/hyperlink"/><Relationship Id="rId32" Target="http://www.strath.ac.uk/clcj/events/" TargetMode="External" Type="http://schemas.openxmlformats.org/officeDocument/2006/relationships/hyperlink"/><Relationship Id="rId33" Target="https://www.salve.edu/sites/default/files/filesfield/documents/Incarceration_and_Recidivism.pdf" TargetMode="External" Type="http://schemas.openxmlformats.org/officeDocument/2006/relationships/hyperlink"/><Relationship Id="rId34" Target="https://www.gov.uk/government/uploads/system/uploads/attachment_data/file/252851/womens-custodial-estate-review.pdf" TargetMode="External" Type="http://schemas.openxmlformats.org/officeDocument/2006/relationships/hyperlink"/><Relationship Id="rId35" Target="http://www.europris.org/projects/prisons-of-the-future/" TargetMode="External" Type="http://schemas.openxmlformats.org/officeDocument/2006/relationships/hyperlink"/><Relationship Id="rId36" Target="http://www.britac.ac.uk/policy/Presumption_Against_Imprisonment.cfm" TargetMode="External" Type="http://schemas.openxmlformats.org/officeDocument/2006/relationships/hyperlink"/><Relationship Id="rId37" Target="http://www.penalreform.org/wp-content/uploads/2013/04/Trends-Paper-An-Update-May-2014-Final.pdf" TargetMode="External" Type="http://schemas.openxmlformats.org/officeDocument/2006/relationships/hyperlink"/><Relationship Id="rId38" Target="http://www.amimb.org.uk/documents/SmallCustodialUnitsReport-finalversion.pdf" TargetMode="External" Type="http://schemas.openxmlformats.org/officeDocument/2006/relationships/hyperlink"/><Relationship Id="rId39" Target="mailto:tamsyn.wilson@scotland.gsi.gov.uk" TargetMode="External" Type="http://schemas.openxmlformats.org/officeDocument/2006/relationships/hyperlink"/><Relationship Id="rId4" Target="styles.xml" Type="http://schemas.openxmlformats.org/officeDocument/2006/relationships/styles"/><Relationship Id="rId40" Target="fontTable.xml" Type="http://schemas.openxmlformats.org/officeDocument/2006/relationships/fontTable"/><Relationship Id="rId41" Target="theme/theme1.xml" Type="http://schemas.openxmlformats.org/officeDocument/2006/relationships/theme"/><Relationship Id="rId5" Target="stylesWithEffects.xml" Type="http://schemas.microsoft.com/office/2007/relationships/stylesWithEffect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_rels/endnotes.xml.rels><?xml version="1.0" encoding="UTF-8" standalone="yes"?><Relationships xmlns="http://schemas.openxmlformats.org/package/2006/relationships"><Relationship Id="rId1" Target="http://www.scotland.gov.uk/Resource/0039/00391828.pdf" TargetMode="External" Type="http://schemas.openxmlformats.org/officeDocument/2006/relationships/hyperlink"/><Relationship Id="rId10" Target="https://www.gov.uk/government/publications/transforming-rehabilitation-a-summary-of-evidence-on-reducing-reoffending" TargetMode="External" Type="http://schemas.openxmlformats.org/officeDocument/2006/relationships/hyperlink"/><Relationship Id="rId11" Target="http://www.scotland.gov.uk/Resource/0045/00452150.pdf" TargetMode="External" Type="http://schemas.openxmlformats.org/officeDocument/2006/relationships/hyperlink"/><Relationship Id="rId12" Target="http://www.justice.gov.uk/publications/docs/corstonreport-march-2007.pdf" TargetMode="External" Type="http://schemas.openxmlformats.org/officeDocument/2006/relationships/hyperlink"/><Relationship Id="rId13" Target="http://www.internationalpenalandpenitentiaryfoundation.org/Site/documents/Stavern/29_Stavern_Report%20Sweden.pdf" TargetMode="External" Type="http://schemas.openxmlformats.org/officeDocument/2006/relationships/hyperlink"/><Relationship Id="rId14" Target="http://www.government.se/content/1/c6/02/07/19/2b28c4cc.pdf" TargetMode="External" Type="http://schemas.openxmlformats.org/officeDocument/2006/relationships/hyperlink"/><Relationship Id="rId15" Target="http://www.justice.ie/en/JELR/Community_Return_Study_Report_v3_9.pdf/Files/Community_Return_Study_Report_v3_9.pdf" TargetMode="External" Type="http://schemas.openxmlformats.org/officeDocument/2006/relationships/hyperlink"/><Relationship Id="rId16" Target="http://scottishjusticematters.com/women-affected-criminal-justice-system-scotland-next/" TargetMode="External" Type="http://schemas.openxmlformats.org/officeDocument/2006/relationships/hyperlink"/><Relationship Id="rId17" Target="http://www.iprt.ie/contents/2568" TargetMode="External" Type="http://schemas.openxmlformats.org/officeDocument/2006/relationships/hyperlink"/><Relationship Id="rId18" Target="https://www.ncjrs.gov/pdffiles1/Digitization/142251NCJRS.pdf" TargetMode="External" Type="http://schemas.openxmlformats.org/officeDocument/2006/relationships/hyperlink"/><Relationship Id="rId19" Target="http://www.greenhope.org/about/kandake_house.shtml" TargetMode="External" Type="http://schemas.openxmlformats.org/officeDocument/2006/relationships/hyperlink"/><Relationship Id="rId2" Target="http://www.prisonstudies.org/sites/prisonstudies.org/files/resources/downloads/20080501_womens_prisons_int_review__final_report_v_2.pdf" TargetMode="External" Type="http://schemas.openxmlformats.org/officeDocument/2006/relationships/hyperlink"/><Relationship Id="rId20" Target="http://www.justice.gov.uk/publications/docs/corston-report-march-2007.pdf" TargetMode="External" Type="http://schemas.openxmlformats.org/officeDocument/2006/relationships/hyperlink"/><Relationship Id="rId21" Target="http://www.prisonstudies.org/sites/prisonstudies.org/files/resources/downloads/wfil_2nd_edition.pdf" TargetMode="External" Type="http://schemas.openxmlformats.org/officeDocument/2006/relationships/hyperlink"/><Relationship Id="rId22" Target="http://www.csc-scc.gc.ca/publications/fsw/wos24/index-eng.shtml" TargetMode="External" Type="http://schemas.openxmlformats.org/officeDocument/2006/relationships/hyperlink"/><Relationship Id="rId23" Target="http://www.csc-scc.gc.ca/women/002002-0002-eng.shtml" TargetMode="External" Type="http://schemas.openxmlformats.org/officeDocument/2006/relationships/hyperlink"/><Relationship Id="rId24" Target="http://www.csc-scc.gc.ca/institutions/001002-1003-eng.shtml" TargetMode="External" Type="http://schemas.openxmlformats.org/officeDocument/2006/relationships/hyperlink"/><Relationship Id="rId25" Target="http://www.csc-scc.gc.ca/institutions/001002-3006-eng.shtml" TargetMode="External" Type="http://schemas.openxmlformats.org/officeDocument/2006/relationships/hyperlink"/><Relationship Id="rId26" Target="http://www.csc-scc.gc.ca/institutions/001002-1003-eng.shtml" TargetMode="External" Type="http://schemas.openxmlformats.org/officeDocument/2006/relationships/hyperlink"/><Relationship Id="rId27" Target="http://www.abs.gov.au/AUSSTATS/abs@.nsf/Lookup/4517.0Main+Features12014?OpenDocument" TargetMode="External" Type="http://schemas.openxmlformats.org/officeDocument/2006/relationships/hyperlink"/><Relationship Id="rId28" Target="http://www.correctiveservices.wa.gov.au/prisons/prison-locations/boronia.aspx" TargetMode="External" Type="http://schemas.openxmlformats.org/officeDocument/2006/relationships/hyperlink"/><Relationship Id="rId29" Target="http://www.correctiveservices.justice.nsw.gov.au/programs/at-risk-offenders/mum-shirl-unit" TargetMode="External" Type="http://schemas.openxmlformats.org/officeDocument/2006/relationships/hyperlink"/><Relationship Id="rId3" Target="http://www.aic.gov.au/publications/current%20series/tbp/41-60/tbp041.html" TargetMode="External" Type="http://schemas.openxmlformats.org/officeDocument/2006/relationships/hyperlink"/><Relationship Id="rId30" Target="http://www.goodlivesmodel.com/" TargetMode="External" Type="http://schemas.openxmlformats.org/officeDocument/2006/relationships/hyperlink"/><Relationship Id="rId31" Target="http://duihua.org/wp/?p=5733" TargetMode="External" Type="http://schemas.openxmlformats.org/officeDocument/2006/relationships/hyperlink"/><Relationship Id="rId32" Target="http://www.publications.parliament.uk/pa/cm201516/cmselect/cmjustice/374/37402.htm" TargetMode="External" Type="http://schemas.openxmlformats.org/officeDocument/2006/relationships/hyperlink"/><Relationship Id="rId33" Target="http://www.prisonobservatory.org/upload/PrisonconditionsinFrance.pdf" TargetMode="External" Type="http://schemas.openxmlformats.org/officeDocument/2006/relationships/hyperlink"/><Relationship Id="rId34" Target="http://www.irishprisons.ie/index.php/joomlaorg/mountjoy-campus/dochas-centre" TargetMode="External" Type="http://schemas.openxmlformats.org/officeDocument/2006/relationships/hyperlink"/><Relationship Id="rId35" Target="http://www.dojni.gov.uk/index/ni-prison-service/nips-publications/reports-reviews-nips/owers-review-of-the-northern-ireland-prison-service.pdf" TargetMode="External" Type="http://schemas.openxmlformats.org/officeDocument/2006/relationships/hyperlink"/><Relationship Id="rId36" Target="https://www.gov.uk/government/publications/a-new-approach-to-managing-female-offenders" TargetMode="External" Type="http://schemas.openxmlformats.org/officeDocument/2006/relationships/hyperlink"/><Relationship Id="rId37" Target="http://www.publications.parliament.uk/pa/cm201415/cmselect/cmjust/314/31402.htm" TargetMode="External" Type="http://schemas.openxmlformats.org/officeDocument/2006/relationships/hyperlink"/><Relationship Id="rId38" Target="http://www.chrissmithonline.co.uk/files/scotland-2012-finnish-prison-reduction.pdf" TargetMode="External" Type="http://schemas.openxmlformats.org/officeDocument/2006/relationships/hyperlink"/><Relationship Id="rId39" Target="http://www.newsinenglish.no/2014/08/21/packed-prisons-turn-away-convicts/" TargetMode="External" Type="http://schemas.openxmlformats.org/officeDocument/2006/relationships/hyperlink"/><Relationship Id="rId4" Target="http://www.prisonreformtrust.org.uk/portals/0/documents/international%20good%20practice%20final.pdf" TargetMode="External" Type="http://schemas.openxmlformats.org/officeDocument/2006/relationships/hyperlink"/><Relationship Id="rId40" Target="https://www.ssb.no/en/sosiale-forhold-og-kriminalitet/statistikker/straff" TargetMode="External" Type="http://schemas.openxmlformats.org/officeDocument/2006/relationships/hyperlink"/><Relationship Id="rId41" Target="http://www.amimb.org.uk/documents/SmallCustodialUnitsReport-finalversion.pdf" TargetMode="External" Type="http://schemas.openxmlformats.org/officeDocument/2006/relationships/hyperlink"/><Relationship Id="rId42" Target="http://www.publicsafety.gc.ca/cnt/rsrcs/pblctns/2012-ccrs/index-eng.aspx" TargetMode="External" Type="http://schemas.openxmlformats.org/officeDocument/2006/relationships/hyperlink"/><Relationship Id="rId43" Target="http://www.csc-scc.gc.ca/research/005008-0222-eng.shtml" TargetMode="External" Type="http://schemas.openxmlformats.org/officeDocument/2006/relationships/hyperlink"/><Relationship Id="rId44" Target="http://www.kriminalomsorgen.no/information-in-english.265199.no.html" TargetMode="External" Type="http://schemas.openxmlformats.org/officeDocument/2006/relationships/hyperlink"/><Relationship Id="rId45" Target="http://www.kriminalomsorgen.no/index.php?cat=265199" TargetMode="External" Type="http://schemas.openxmlformats.org/officeDocument/2006/relationships/hyperlink"/><Relationship Id="rId46" Target="http://www.justiceinspectorates.gov.uk/hmiprisons/about-our-inspections/inspection-criteria/" TargetMode="External" Type="http://schemas.openxmlformats.org/officeDocument/2006/relationships/hyperlink"/><Relationship Id="rId47" Target="http://www.gov.scot/Publications/2015/03/8256/downloads" TargetMode="External" Type="http://schemas.openxmlformats.org/officeDocument/2006/relationships/hyperlink"/><Relationship Id="rId48" Target="http://www.europris.org/projects/prisons-of-the-future/" TargetMode="External" Type="http://schemas.openxmlformats.org/officeDocument/2006/relationships/hyperlink"/><Relationship Id="rId49" Target="http://www.sps.gov.uk/Corporate/Publications/PrisonerSurvey2013FemaleOffenders.aspx" TargetMode="External" Type="http://schemas.openxmlformats.org/officeDocument/2006/relationships/hyperlink"/><Relationship Id="rId5" Target="http://www.prisonreformtrust.org.uk/Portals/0/Documents/transforming%20lives.pdf" TargetMode="External" Type="http://schemas.openxmlformats.org/officeDocument/2006/relationships/hyperlink"/><Relationship Id="rId50" Target="http://www.gov.scot/Publications/2015/05/2480" TargetMode="External" Type="http://schemas.openxmlformats.org/officeDocument/2006/relationships/hyperlink"/><Relationship Id="rId51" Target="http://www.prisonersfamilies.org.uk/uploadedFiles/2010_Publications_And_Resources/Facts_and_figures_about_prisoners_families_June2013.pdf" TargetMode="External" Type="http://schemas.openxmlformats.org/officeDocument/2006/relationships/hyperlink"/><Relationship Id="rId52" Target="http://www.sccjr.ac.uk/publications/the-elements-of-effective-through-care-part-1-international-review/" TargetMode="External" Type="http://schemas.openxmlformats.org/officeDocument/2006/relationships/hyperlink"/><Relationship Id="rId53" Target="http://webarchive.nationalarchives.gov.uk/20130128103514/http://rds.homeoffice.gov.uk/rds/pdfs05/r248.pdf" TargetMode="External" Type="http://schemas.openxmlformats.org/officeDocument/2006/relationships/hyperlink"/><Relationship Id="rId54" Target="http://nicic.gov/wodp/program/203-harriet-house" TargetMode="External" Type="http://schemas.openxmlformats.org/officeDocument/2006/relationships/hyperlink"/><Relationship Id="rId55" Target="http://www.quno.org/resource/2012/3/children-alleged-offenders-revised-draft-framework-decision-making" TargetMode="External" Type="http://schemas.openxmlformats.org/officeDocument/2006/relationships/hyperlink"/><Relationship Id="rId56" Target="https://www.gov.uk/government/uploads/system/uploads/attachment_data/file/278837/prisoners-childhood-family-backgrounds.pdf" TargetMode="External" Type="http://schemas.openxmlformats.org/officeDocument/2006/relationships/hyperlink"/><Relationship Id="rId57" Target="http://www.loc.gov/law/help/children-residing-with-parents-in-prison/foreign.php" TargetMode="External" Type="http://schemas.openxmlformats.org/officeDocument/2006/relationships/hyperlink"/><Relationship Id="rId58" Target="http://www.institucionpenitenciaria.es/web/export/sites/default/datos/descargables/publicaciones/libro_IP_inglxs.pdf" TargetMode="External" Type="http://schemas.openxmlformats.org/officeDocument/2006/relationships/hyperlink"/><Relationship Id="rId59" Target="http://www.dojni.gov.uk/index/ni-prison-service/nips-publications/reports-reviews-nips/owers-review-of-the-northern-ireland-prison-service.pdf" TargetMode="External" Type="http://schemas.openxmlformats.org/officeDocument/2006/relationships/hyperlink"/><Relationship Id="rId6" Target="http://www.vera.org/sites/default/files/resources/downloads/european-american-prison-report-v3.pdf" TargetMode="External" Type="http://schemas.openxmlformats.org/officeDocument/2006/relationships/hyperlink"/><Relationship Id="rId60" Target="http://www.prisonreformtrust.org.uk/ProjectsResearch/Women" TargetMode="External" Type="http://schemas.openxmlformats.org/officeDocument/2006/relationships/hyperlink"/><Relationship Id="rId61" Target="http://www.prisonreformtrust.org.uk/Portals/0/Documents/Soroptimist%20Action%20Pack_onlineV5.pdf" TargetMode="External" Type="http://schemas.openxmlformats.org/officeDocument/2006/relationships/hyperlink"/><Relationship Id="rId62" Target="http://www.scccj.org.uk/index.php/2015/06/turn-off-the-tap-a-bold-strategy-for-women-and-justice-in-scotland/" TargetMode="External" Type="http://schemas.openxmlformats.org/officeDocument/2006/relationships/hyperlink"/><Relationship Id="rId7" Target="http://www.prisonstudies.org/about-wpb" TargetMode="External" Type="http://schemas.openxmlformats.org/officeDocument/2006/relationships/hyperlink"/><Relationship Id="rId8" Target="http://www.sps.gov.uk/Corporate/Publications/Publication-2194.aspx" TargetMode="External" Type="http://schemas.openxmlformats.org/officeDocument/2006/relationships/hyperlink"/><Relationship Id="rId9" Target="http://www.scotland.gov.uk/Topics/Statistics/Browse/Crime-Justice/PubCriminalProceedings" TargetMode="External" Type="http://schemas.openxmlformats.org/officeDocument/2006/relationships/hyperlink"/></Relationships>
</file>

<file path=word/_rels/footnotes.xml.rels><?xml version="1.0" encoding="UTF-8" standalone="yes"?><Relationships xmlns="http://schemas.openxmlformats.org/package/2006/relationships"><Relationship Id="rId1" Target="http://www.kriminalomsorgen.no/index.php?cat=265199" TargetMode="External" Type="http://schemas.openxmlformats.org/officeDocument/2006/relationships/hyperlink"/><Relationship Id="rId2" Target="http://www.theguardian.com/society/2014/may/04/planned-closure-womens-prisons-stopped-legal-action-askham-grange-east-sutton-park" TargetMode="External" Type="http://schemas.openxmlformats.org/officeDocument/2006/relationships/hyperlink"/><Relationship Id="rId3" Target="http://www.publications.parliament.uk/pa/cm201415/cmselect/cmjust/314/31402.htm" TargetMode="External" Type="http://schemas.openxmlformats.org/officeDocument/2006/relationships/hyperlink"/><Relationship Id="rId4" Target="http://www.sps.gov.uk/Careers/OpportunitiesintheSPS/The-Role-of-a-Prison-Officer.aspx" TargetMode="External" Type="http://schemas.openxmlformats.org/officeDocument/2006/relationships/hyperlink"/><Relationship Id="rId5" Target="http://www.publicsafety.gc.ca/cnt/rsrcs/pblctns/2012-ccrs/index-eng.aspx" TargetMode="External" Type="http://schemas.openxmlformats.org/officeDocument/2006/relationships/hyperlink"/><Relationship Id="rId6" Target="http://www.prisonstudies.org/sites/default/files/resources/downloads/wfil_2nd_edition.pdf" TargetMode="External" Type="http://schemas.openxmlformats.org/officeDocument/2006/relationships/hyperlink"/><Relationship Id="rId7" Target="http://www.gov.scot/Publications/2014/03/9823/11" TargetMode="External" Type="http://schemas.openxmlformats.org/officeDocument/2006/relationships/hyperlink"/></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693091-1DE2-4845-BB71-02B5556C2C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63</Pages>
  <Words>18741</Words>
  <Characters>110755</Characters>
  <Application>Microsoft Office Word</Application>
  <DocSecurity>0</DocSecurity>
  <Lines>922</Lines>
  <Paragraphs>258</Paragraphs>
  <ScaleCrop>false</ScaleCrop>
  <HeadingPairs>
    <vt:vector size="2" baseType="variant">
      <vt:variant>
        <vt:lpstr>Title</vt:lpstr>
      </vt:variant>
      <vt:variant>
        <vt:i4>1</vt:i4>
      </vt:variant>
    </vt:vector>
  </HeadingPairs>
  <TitlesOfParts>
    <vt:vector size="1" baseType="lpstr">
      <vt:lpstr>1</vt:lpstr>
    </vt:vector>
  </TitlesOfParts>
  <Company>APS Group</Company>
  <LinksUpToDate>false</LinksUpToDate>
  <CharactersWithSpaces>129238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2015-10-02T08:12:00Z</dcterms:created>
  <cp:lastPrinted>2015-10-08T07:38:00Z</cp:lastPrinted>
  <dcterms:modified xsi:type="dcterms:W3CDTF">2015-10-08T07:38:00Z</dcterms:modified>
  <cp:revision>13</cp:revision>
  <dc:title>1</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A12291349</vt:lpwstr>
  </property>
  <property fmtid="{D5CDD505-2E9C-101B-9397-08002B2CF9AE}" pid="4" name="Objective-Title">
    <vt:lpwstr>International review of women's prisons - FINAL 9 Sep 2015 Proof 1 - edited</vt:lpwstr>
  </property>
  <property fmtid="{D5CDD505-2E9C-101B-9397-08002B2CF9AE}" pid="5" name="Objective-Comment">
    <vt:lpwstr>
    </vt:lpwstr>
  </property>
  <property fmtid="{D5CDD505-2E9C-101B-9397-08002B2CF9AE}" pid="6" name="Objective-CreationStamp">
    <vt:filetime>2015-09-30T08:21:44Z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vt:lpwstr>
  </property>
  <property fmtid="{D5CDD505-2E9C-101B-9397-08002B2CF9AE}" pid="10" name="Objective-ModificationStamp">
    <vt:filetime>2015-10-01T19:06:16Z</vt:filetime>
  </property>
  <property fmtid="{D5CDD505-2E9C-101B-9397-08002B2CF9AE}" pid="11" name="Objective-Owner">
    <vt:lpwstr>Wilson, Tamsyn T (U414838)</vt:lpwstr>
  </property>
  <property fmtid="{D5CDD505-2E9C-101B-9397-08002B2CF9AE}" pid="12" name="Objective-Path">
    <vt:lpwstr>Objective Global Folder:SG File Plan:Crime, law, justice and rights:Crime:Offenders:Research and analysis: Offenders:Research: women offending evidence review 2014-12-14:</vt:lpwstr>
  </property>
  <property fmtid="{D5CDD505-2E9C-101B-9397-08002B2CF9AE}" pid="13" name="Objective-Parent">
    <vt:lpwstr>Research: women offending evidence review 2014-12-14</vt:lpwstr>
  </property>
  <property fmtid="{D5CDD505-2E9C-101B-9397-08002B2CF9AE}" pid="14" name="Objective-State">
    <vt:lpwstr>Being Drafted</vt:lpwstr>
  </property>
  <property fmtid="{D5CDD505-2E9C-101B-9397-08002B2CF9AE}" pid="15" name="Objective-Version">
    <vt:lpwstr>0.2</vt:lpwstr>
  </property>
  <property fmtid="{D5CDD505-2E9C-101B-9397-08002B2CF9AE}" pid="16" name="Objective-VersionNumber">
    <vt:i4>2</vt:i4>
  </property>
  <property fmtid="{D5CDD505-2E9C-101B-9397-08002B2CF9AE}" pid="17" name="Objective-VersionComment">
    <vt:lpwstr>
    </vt:lpwstr>
  </property>
  <property fmtid="{D5CDD505-2E9C-101B-9397-08002B2CF9AE}" pid="18" name="Objective-FileNumber">
    <vt:lpwstr>
    </vt:lpwstr>
  </property>
  <property fmtid="{D5CDD505-2E9C-101B-9397-08002B2CF9AE}" pid="19" name="Objective-Classification">
    <vt:lpwstr>[Inherited - OFFICIAL]</vt:lpwstr>
  </property>
  <property fmtid="{D5CDD505-2E9C-101B-9397-08002B2CF9AE}" pid="20" name="Objective-Caveats">
    <vt:lpwstr>
    </vt:lpwstr>
  </property>
  <property fmtid="{D5CDD505-2E9C-101B-9397-08002B2CF9AE}" pid="21" name="Objective-Date of Original [system]">
    <vt:lpwstr>
    </vt:lpwstr>
  </property>
  <property fmtid="{D5CDD505-2E9C-101B-9397-08002B2CF9AE}" pid="22" name="Objective-Date Received [system]">
    <vt:lpwstr>
    </vt:lpwstr>
  </property>
  <property fmtid="{D5CDD505-2E9C-101B-9397-08002B2CF9AE}" pid="23" name="Objective-SG Web Publication - Category [system]">
    <vt:lpwstr>
    </vt:lpwstr>
  </property>
  <property fmtid="{D5CDD505-2E9C-101B-9397-08002B2CF9AE}" pid="24" name="Objective-SG Web Publication - Category 2 Classification [system]">
    <vt:lpwstr>
    </vt:lpwstr>
  </property>
</Properties>
</file>