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2BC24" w14:textId="2A088F4D" w:rsidR="007B1920" w:rsidRPr="002F4C3A" w:rsidRDefault="00DE561B" w:rsidP="002F4C3A">
      <w:pPr>
        <w:rPr>
          <w:sz w:val="28"/>
          <w:szCs w:val="28"/>
        </w:rPr>
      </w:pPr>
      <w:bookmarkStart w:id="0" w:name="_GoBack"/>
      <w:bookmarkEnd w:id="0"/>
      <w:r w:rsidRPr="002F4C3A">
        <w:rPr>
          <w:sz w:val="28"/>
          <w:szCs w:val="28"/>
        </w:rPr>
        <w:t xml:space="preserve">Introduction </w:t>
      </w:r>
    </w:p>
    <w:p w14:paraId="356F4903" w14:textId="673CF4E1" w:rsidR="004F5692" w:rsidRDefault="00DE561B" w:rsidP="009D62E6">
      <w:pPr>
        <w:spacing w:before="120"/>
        <w:rPr>
          <w:lang w:val="en-US"/>
        </w:rPr>
      </w:pPr>
      <w:r>
        <w:rPr>
          <w:lang w:val="en-US"/>
        </w:rPr>
        <w:t xml:space="preserve">This paper provides an overview of </w:t>
      </w:r>
      <w:r w:rsidR="00171ED4">
        <w:rPr>
          <w:lang w:val="en-US"/>
        </w:rPr>
        <w:t>the Delivering Equally Safe fund managed</w:t>
      </w:r>
      <w:r w:rsidR="00F37F63">
        <w:rPr>
          <w:lang w:val="en-US"/>
        </w:rPr>
        <w:t>,</w:t>
      </w:r>
      <w:r w:rsidR="00171ED4">
        <w:rPr>
          <w:lang w:val="en-US"/>
        </w:rPr>
        <w:t xml:space="preserve"> on behalf of the Scottish Government</w:t>
      </w:r>
      <w:r w:rsidR="00F37F63">
        <w:rPr>
          <w:lang w:val="en-US"/>
        </w:rPr>
        <w:t>,</w:t>
      </w:r>
      <w:r w:rsidR="00171ED4">
        <w:rPr>
          <w:lang w:val="en-US"/>
        </w:rPr>
        <w:t xml:space="preserve"> by Inspiring Scotland. </w:t>
      </w:r>
      <w:r w:rsidR="00AF52D8">
        <w:rPr>
          <w:lang w:val="en-US"/>
        </w:rPr>
        <w:t>It provide</w:t>
      </w:r>
      <w:r w:rsidR="0062340E">
        <w:rPr>
          <w:lang w:val="en-US"/>
        </w:rPr>
        <w:t>s</w:t>
      </w:r>
      <w:r w:rsidR="00AF52D8">
        <w:rPr>
          <w:lang w:val="en-US"/>
        </w:rPr>
        <w:t xml:space="preserve"> key </w:t>
      </w:r>
      <w:r w:rsidR="0023709B">
        <w:rPr>
          <w:lang w:val="en-US"/>
        </w:rPr>
        <w:t>figures</w:t>
      </w:r>
      <w:r w:rsidR="00AF52D8">
        <w:rPr>
          <w:lang w:val="en-US"/>
        </w:rPr>
        <w:t xml:space="preserve"> on the funding programme, learning on the application process and </w:t>
      </w:r>
      <w:r w:rsidR="00BF667C">
        <w:rPr>
          <w:lang w:val="en-US"/>
        </w:rPr>
        <w:t>provide</w:t>
      </w:r>
      <w:r w:rsidR="008D51D2">
        <w:rPr>
          <w:lang w:val="en-US"/>
        </w:rPr>
        <w:t xml:space="preserve">s </w:t>
      </w:r>
      <w:r w:rsidR="00BF667C">
        <w:rPr>
          <w:lang w:val="en-US"/>
        </w:rPr>
        <w:t xml:space="preserve">some insights into learning from </w:t>
      </w:r>
      <w:r w:rsidR="00C66C21">
        <w:rPr>
          <w:lang w:val="en-US"/>
        </w:rPr>
        <w:t xml:space="preserve">interactions with </w:t>
      </w:r>
      <w:r w:rsidR="00BF667C">
        <w:rPr>
          <w:lang w:val="en-US"/>
        </w:rPr>
        <w:t xml:space="preserve">funded groups to date. </w:t>
      </w:r>
    </w:p>
    <w:p w14:paraId="4478422C" w14:textId="293DB28B" w:rsidR="00204764" w:rsidRDefault="00204764" w:rsidP="009D62E6">
      <w:pPr>
        <w:spacing w:before="120"/>
        <w:rPr>
          <w:lang w:val="en-US"/>
        </w:rPr>
      </w:pPr>
      <w:r>
        <w:rPr>
          <w:lang w:val="en-US"/>
        </w:rPr>
        <w:t xml:space="preserve">The paper is background to a presentation to be made to the VAWG Strategic Review Advisory Group on </w:t>
      </w:r>
      <w:r w:rsidR="006557A3">
        <w:rPr>
          <w:lang w:val="en-US"/>
        </w:rPr>
        <w:t xml:space="preserve">Wednesday 22 June 2022. </w:t>
      </w:r>
    </w:p>
    <w:p w14:paraId="2D2A9B28" w14:textId="23208BF3" w:rsidR="007E7FBF" w:rsidRDefault="003D4B65" w:rsidP="00DE561B">
      <w:pPr>
        <w:rPr>
          <w:lang w:val="en-US"/>
        </w:rPr>
      </w:pPr>
      <w:r>
        <w:rPr>
          <w:lang w:val="en-US"/>
        </w:rPr>
        <w:t>It includes</w:t>
      </w:r>
      <w:r w:rsidR="002F4C3A">
        <w:rPr>
          <w:lang w:val="en-US"/>
        </w:rPr>
        <w:t xml:space="preserve">: </w:t>
      </w:r>
    </w:p>
    <w:sdt>
      <w:sdtPr>
        <w:rPr>
          <w:rFonts w:ascii="Arial" w:eastAsiaTheme="minorHAnsi" w:hAnsi="Arial" w:cstheme="minorBidi"/>
          <w:color w:val="auto"/>
          <w:sz w:val="24"/>
          <w:szCs w:val="22"/>
          <w:lang w:val="en-GB"/>
        </w:rPr>
        <w:id w:val="-2003883532"/>
        <w:docPartObj>
          <w:docPartGallery w:val="Table of Contents"/>
          <w:docPartUnique/>
        </w:docPartObj>
      </w:sdtPr>
      <w:sdtEndPr>
        <w:rPr>
          <w:b/>
          <w:bCs/>
          <w:noProof/>
        </w:rPr>
      </w:sdtEndPr>
      <w:sdtContent>
        <w:p w14:paraId="283BF366" w14:textId="5E495282" w:rsidR="002F4C3A" w:rsidRDefault="002F4C3A">
          <w:pPr>
            <w:pStyle w:val="TOCHeading"/>
          </w:pPr>
        </w:p>
        <w:p w14:paraId="6E712A29" w14:textId="4D4AA349" w:rsidR="00A81BEC" w:rsidRDefault="002F4C3A">
          <w:pPr>
            <w:pStyle w:val="TOC2"/>
            <w:tabs>
              <w:tab w:val="left" w:pos="88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06120892" w:history="1">
            <w:r w:rsidR="00A81BEC" w:rsidRPr="0031575F">
              <w:rPr>
                <w:rStyle w:val="Hyperlink"/>
                <w:bCs/>
                <w:noProof/>
              </w:rPr>
              <w:t>1.</w:t>
            </w:r>
            <w:r w:rsidR="00A81BEC">
              <w:rPr>
                <w:rFonts w:asciiTheme="minorHAnsi" w:eastAsiaTheme="minorEastAsia" w:hAnsiTheme="minorHAnsi"/>
                <w:noProof/>
                <w:sz w:val="22"/>
                <w:lang w:eastAsia="en-GB"/>
              </w:rPr>
              <w:tab/>
            </w:r>
            <w:r w:rsidR="00A81BEC" w:rsidRPr="0031575F">
              <w:rPr>
                <w:rStyle w:val="Hyperlink"/>
                <w:noProof/>
              </w:rPr>
              <w:t>Outline of Delivering Equally Safe funding programme</w:t>
            </w:r>
            <w:r w:rsidR="00A81BEC">
              <w:rPr>
                <w:noProof/>
                <w:webHidden/>
              </w:rPr>
              <w:tab/>
            </w:r>
            <w:r w:rsidR="00A81BEC">
              <w:rPr>
                <w:noProof/>
                <w:webHidden/>
              </w:rPr>
              <w:fldChar w:fldCharType="begin"/>
            </w:r>
            <w:r w:rsidR="00A81BEC">
              <w:rPr>
                <w:noProof/>
                <w:webHidden/>
              </w:rPr>
              <w:instrText xml:space="preserve"> PAGEREF _Toc106120892 \h </w:instrText>
            </w:r>
            <w:r w:rsidR="00A81BEC">
              <w:rPr>
                <w:noProof/>
                <w:webHidden/>
              </w:rPr>
            </w:r>
            <w:r w:rsidR="00A81BEC">
              <w:rPr>
                <w:noProof/>
                <w:webHidden/>
              </w:rPr>
              <w:fldChar w:fldCharType="separate"/>
            </w:r>
            <w:r w:rsidR="00A81BEC">
              <w:rPr>
                <w:noProof/>
                <w:webHidden/>
              </w:rPr>
              <w:t>2</w:t>
            </w:r>
            <w:r w:rsidR="00A81BEC">
              <w:rPr>
                <w:noProof/>
                <w:webHidden/>
              </w:rPr>
              <w:fldChar w:fldCharType="end"/>
            </w:r>
          </w:hyperlink>
        </w:p>
        <w:p w14:paraId="066B5CE9" w14:textId="097ABD25" w:rsidR="00A81BEC" w:rsidRDefault="001E41EC">
          <w:pPr>
            <w:pStyle w:val="TOC3"/>
            <w:tabs>
              <w:tab w:val="right" w:leader="dot" w:pos="9016"/>
            </w:tabs>
            <w:rPr>
              <w:rFonts w:asciiTheme="minorHAnsi" w:eastAsiaTheme="minorEastAsia" w:hAnsiTheme="minorHAnsi"/>
              <w:noProof/>
              <w:sz w:val="22"/>
              <w:lang w:eastAsia="en-GB"/>
            </w:rPr>
          </w:pPr>
          <w:hyperlink w:anchor="_Toc106120893" w:history="1">
            <w:r w:rsidR="00A81BEC" w:rsidRPr="0031575F">
              <w:rPr>
                <w:rStyle w:val="Hyperlink"/>
                <w:noProof/>
              </w:rPr>
              <w:t>1a. Portfolio of funded organisations and projects</w:t>
            </w:r>
            <w:r w:rsidR="00A81BEC">
              <w:rPr>
                <w:noProof/>
                <w:webHidden/>
              </w:rPr>
              <w:tab/>
            </w:r>
            <w:r w:rsidR="00A81BEC">
              <w:rPr>
                <w:noProof/>
                <w:webHidden/>
              </w:rPr>
              <w:fldChar w:fldCharType="begin"/>
            </w:r>
            <w:r w:rsidR="00A81BEC">
              <w:rPr>
                <w:noProof/>
                <w:webHidden/>
              </w:rPr>
              <w:instrText xml:space="preserve"> PAGEREF _Toc106120893 \h </w:instrText>
            </w:r>
            <w:r w:rsidR="00A81BEC">
              <w:rPr>
                <w:noProof/>
                <w:webHidden/>
              </w:rPr>
            </w:r>
            <w:r w:rsidR="00A81BEC">
              <w:rPr>
                <w:noProof/>
                <w:webHidden/>
              </w:rPr>
              <w:fldChar w:fldCharType="separate"/>
            </w:r>
            <w:r w:rsidR="00A81BEC">
              <w:rPr>
                <w:noProof/>
                <w:webHidden/>
              </w:rPr>
              <w:t>2</w:t>
            </w:r>
            <w:r w:rsidR="00A81BEC">
              <w:rPr>
                <w:noProof/>
                <w:webHidden/>
              </w:rPr>
              <w:fldChar w:fldCharType="end"/>
            </w:r>
          </w:hyperlink>
        </w:p>
        <w:p w14:paraId="5FD80D6A" w14:textId="4688BD77" w:rsidR="00A81BEC" w:rsidRDefault="001E41EC">
          <w:pPr>
            <w:pStyle w:val="TOC3"/>
            <w:tabs>
              <w:tab w:val="right" w:leader="dot" w:pos="9016"/>
            </w:tabs>
            <w:rPr>
              <w:rFonts w:asciiTheme="minorHAnsi" w:eastAsiaTheme="minorEastAsia" w:hAnsiTheme="minorHAnsi"/>
              <w:noProof/>
              <w:sz w:val="22"/>
              <w:lang w:eastAsia="en-GB"/>
            </w:rPr>
          </w:pPr>
          <w:hyperlink w:anchor="_Toc106120894" w:history="1">
            <w:r w:rsidR="00A81BEC" w:rsidRPr="0031575F">
              <w:rPr>
                <w:rStyle w:val="Hyperlink"/>
                <w:noProof/>
              </w:rPr>
              <w:t>1b. DES contribution to Equally Safe strategy priorities and outcomes</w:t>
            </w:r>
            <w:r w:rsidR="00A81BEC">
              <w:rPr>
                <w:noProof/>
                <w:webHidden/>
              </w:rPr>
              <w:tab/>
            </w:r>
            <w:r w:rsidR="00A81BEC">
              <w:rPr>
                <w:noProof/>
                <w:webHidden/>
              </w:rPr>
              <w:fldChar w:fldCharType="begin"/>
            </w:r>
            <w:r w:rsidR="00A81BEC">
              <w:rPr>
                <w:noProof/>
                <w:webHidden/>
              </w:rPr>
              <w:instrText xml:space="preserve"> PAGEREF _Toc106120894 \h </w:instrText>
            </w:r>
            <w:r w:rsidR="00A81BEC">
              <w:rPr>
                <w:noProof/>
                <w:webHidden/>
              </w:rPr>
            </w:r>
            <w:r w:rsidR="00A81BEC">
              <w:rPr>
                <w:noProof/>
                <w:webHidden/>
              </w:rPr>
              <w:fldChar w:fldCharType="separate"/>
            </w:r>
            <w:r w:rsidR="00A81BEC">
              <w:rPr>
                <w:noProof/>
                <w:webHidden/>
              </w:rPr>
              <w:t>3</w:t>
            </w:r>
            <w:r w:rsidR="00A81BEC">
              <w:rPr>
                <w:noProof/>
                <w:webHidden/>
              </w:rPr>
              <w:fldChar w:fldCharType="end"/>
            </w:r>
          </w:hyperlink>
        </w:p>
        <w:p w14:paraId="7E87933D" w14:textId="1A0A62F2" w:rsidR="00A81BEC" w:rsidRDefault="001E41EC">
          <w:pPr>
            <w:pStyle w:val="TOC2"/>
            <w:tabs>
              <w:tab w:val="left" w:pos="880"/>
              <w:tab w:val="right" w:leader="dot" w:pos="9016"/>
            </w:tabs>
            <w:rPr>
              <w:rFonts w:asciiTheme="minorHAnsi" w:eastAsiaTheme="minorEastAsia" w:hAnsiTheme="minorHAnsi"/>
              <w:noProof/>
              <w:sz w:val="22"/>
              <w:lang w:eastAsia="en-GB"/>
            </w:rPr>
          </w:pPr>
          <w:hyperlink w:anchor="_Toc106120895" w:history="1">
            <w:r w:rsidR="00A81BEC" w:rsidRPr="0031575F">
              <w:rPr>
                <w:rStyle w:val="Hyperlink"/>
                <w:noProof/>
              </w:rPr>
              <w:t>2.</w:t>
            </w:r>
            <w:r w:rsidR="00A81BEC">
              <w:rPr>
                <w:rFonts w:asciiTheme="minorHAnsi" w:eastAsiaTheme="minorEastAsia" w:hAnsiTheme="minorHAnsi"/>
                <w:noProof/>
                <w:sz w:val="22"/>
                <w:lang w:eastAsia="en-GB"/>
              </w:rPr>
              <w:tab/>
            </w:r>
            <w:r w:rsidR="00A81BEC" w:rsidRPr="0031575F">
              <w:rPr>
                <w:rStyle w:val="Hyperlink"/>
                <w:noProof/>
              </w:rPr>
              <w:t>DES funding application process</w:t>
            </w:r>
            <w:r w:rsidR="00A81BEC">
              <w:rPr>
                <w:noProof/>
                <w:webHidden/>
              </w:rPr>
              <w:tab/>
            </w:r>
            <w:r w:rsidR="00A81BEC">
              <w:rPr>
                <w:noProof/>
                <w:webHidden/>
              </w:rPr>
              <w:fldChar w:fldCharType="begin"/>
            </w:r>
            <w:r w:rsidR="00A81BEC">
              <w:rPr>
                <w:noProof/>
                <w:webHidden/>
              </w:rPr>
              <w:instrText xml:space="preserve"> PAGEREF _Toc106120895 \h </w:instrText>
            </w:r>
            <w:r w:rsidR="00A81BEC">
              <w:rPr>
                <w:noProof/>
                <w:webHidden/>
              </w:rPr>
            </w:r>
            <w:r w:rsidR="00A81BEC">
              <w:rPr>
                <w:noProof/>
                <w:webHidden/>
              </w:rPr>
              <w:fldChar w:fldCharType="separate"/>
            </w:r>
            <w:r w:rsidR="00A81BEC">
              <w:rPr>
                <w:noProof/>
                <w:webHidden/>
              </w:rPr>
              <w:t>5</w:t>
            </w:r>
            <w:r w:rsidR="00A81BEC">
              <w:rPr>
                <w:noProof/>
                <w:webHidden/>
              </w:rPr>
              <w:fldChar w:fldCharType="end"/>
            </w:r>
          </w:hyperlink>
        </w:p>
        <w:p w14:paraId="32289567" w14:textId="69E6D56F" w:rsidR="00A81BEC" w:rsidRDefault="001E41EC">
          <w:pPr>
            <w:pStyle w:val="TOC3"/>
            <w:tabs>
              <w:tab w:val="right" w:leader="dot" w:pos="9016"/>
            </w:tabs>
            <w:rPr>
              <w:rFonts w:asciiTheme="minorHAnsi" w:eastAsiaTheme="minorEastAsia" w:hAnsiTheme="minorHAnsi"/>
              <w:noProof/>
              <w:sz w:val="22"/>
              <w:lang w:eastAsia="en-GB"/>
            </w:rPr>
          </w:pPr>
          <w:hyperlink w:anchor="_Toc106120896" w:history="1">
            <w:r w:rsidR="00A81BEC" w:rsidRPr="0031575F">
              <w:rPr>
                <w:rStyle w:val="Hyperlink"/>
                <w:noProof/>
              </w:rPr>
              <w:t>2a. Application timelines and pre-application support</w:t>
            </w:r>
            <w:r w:rsidR="00A81BEC">
              <w:rPr>
                <w:noProof/>
                <w:webHidden/>
              </w:rPr>
              <w:tab/>
            </w:r>
            <w:r w:rsidR="00A81BEC">
              <w:rPr>
                <w:noProof/>
                <w:webHidden/>
              </w:rPr>
              <w:fldChar w:fldCharType="begin"/>
            </w:r>
            <w:r w:rsidR="00A81BEC">
              <w:rPr>
                <w:noProof/>
                <w:webHidden/>
              </w:rPr>
              <w:instrText xml:space="preserve"> PAGEREF _Toc106120896 \h </w:instrText>
            </w:r>
            <w:r w:rsidR="00A81BEC">
              <w:rPr>
                <w:noProof/>
                <w:webHidden/>
              </w:rPr>
            </w:r>
            <w:r w:rsidR="00A81BEC">
              <w:rPr>
                <w:noProof/>
                <w:webHidden/>
              </w:rPr>
              <w:fldChar w:fldCharType="separate"/>
            </w:r>
            <w:r w:rsidR="00A81BEC">
              <w:rPr>
                <w:noProof/>
                <w:webHidden/>
              </w:rPr>
              <w:t>5</w:t>
            </w:r>
            <w:r w:rsidR="00A81BEC">
              <w:rPr>
                <w:noProof/>
                <w:webHidden/>
              </w:rPr>
              <w:fldChar w:fldCharType="end"/>
            </w:r>
          </w:hyperlink>
        </w:p>
        <w:p w14:paraId="59F86F33" w14:textId="17E14718" w:rsidR="00A81BEC" w:rsidRDefault="001E41EC">
          <w:pPr>
            <w:pStyle w:val="TOC3"/>
            <w:tabs>
              <w:tab w:val="right" w:leader="dot" w:pos="9016"/>
            </w:tabs>
            <w:rPr>
              <w:rFonts w:asciiTheme="minorHAnsi" w:eastAsiaTheme="minorEastAsia" w:hAnsiTheme="minorHAnsi"/>
              <w:noProof/>
              <w:sz w:val="22"/>
              <w:lang w:eastAsia="en-GB"/>
            </w:rPr>
          </w:pPr>
          <w:hyperlink w:anchor="_Toc106120897" w:history="1">
            <w:r w:rsidR="00A81BEC" w:rsidRPr="0031575F">
              <w:rPr>
                <w:rStyle w:val="Hyperlink"/>
                <w:noProof/>
              </w:rPr>
              <w:t>2b. Number of applications and fund budget</w:t>
            </w:r>
            <w:r w:rsidR="00A81BEC">
              <w:rPr>
                <w:noProof/>
                <w:webHidden/>
              </w:rPr>
              <w:tab/>
            </w:r>
            <w:r w:rsidR="00A81BEC">
              <w:rPr>
                <w:noProof/>
                <w:webHidden/>
              </w:rPr>
              <w:fldChar w:fldCharType="begin"/>
            </w:r>
            <w:r w:rsidR="00A81BEC">
              <w:rPr>
                <w:noProof/>
                <w:webHidden/>
              </w:rPr>
              <w:instrText xml:space="preserve"> PAGEREF _Toc106120897 \h </w:instrText>
            </w:r>
            <w:r w:rsidR="00A81BEC">
              <w:rPr>
                <w:noProof/>
                <w:webHidden/>
              </w:rPr>
            </w:r>
            <w:r w:rsidR="00A81BEC">
              <w:rPr>
                <w:noProof/>
                <w:webHidden/>
              </w:rPr>
              <w:fldChar w:fldCharType="separate"/>
            </w:r>
            <w:r w:rsidR="00A81BEC">
              <w:rPr>
                <w:noProof/>
                <w:webHidden/>
              </w:rPr>
              <w:t>5</w:t>
            </w:r>
            <w:r w:rsidR="00A81BEC">
              <w:rPr>
                <w:noProof/>
                <w:webHidden/>
              </w:rPr>
              <w:fldChar w:fldCharType="end"/>
            </w:r>
          </w:hyperlink>
        </w:p>
        <w:p w14:paraId="2ACEEF1D" w14:textId="21A81C73" w:rsidR="00A81BEC" w:rsidRDefault="001E41EC">
          <w:pPr>
            <w:pStyle w:val="TOC3"/>
            <w:tabs>
              <w:tab w:val="right" w:leader="dot" w:pos="9016"/>
            </w:tabs>
            <w:rPr>
              <w:rFonts w:asciiTheme="minorHAnsi" w:eastAsiaTheme="minorEastAsia" w:hAnsiTheme="minorHAnsi"/>
              <w:noProof/>
              <w:sz w:val="22"/>
              <w:lang w:eastAsia="en-GB"/>
            </w:rPr>
          </w:pPr>
          <w:hyperlink w:anchor="_Toc106120898" w:history="1">
            <w:r w:rsidR="00A81BEC" w:rsidRPr="0031575F">
              <w:rPr>
                <w:rStyle w:val="Hyperlink"/>
                <w:noProof/>
              </w:rPr>
              <w:t>2c. Assessment and decision making process</w:t>
            </w:r>
            <w:r w:rsidR="00A81BEC">
              <w:rPr>
                <w:noProof/>
                <w:webHidden/>
              </w:rPr>
              <w:tab/>
            </w:r>
            <w:r w:rsidR="00A81BEC">
              <w:rPr>
                <w:noProof/>
                <w:webHidden/>
              </w:rPr>
              <w:fldChar w:fldCharType="begin"/>
            </w:r>
            <w:r w:rsidR="00A81BEC">
              <w:rPr>
                <w:noProof/>
                <w:webHidden/>
              </w:rPr>
              <w:instrText xml:space="preserve"> PAGEREF _Toc106120898 \h </w:instrText>
            </w:r>
            <w:r w:rsidR="00A81BEC">
              <w:rPr>
                <w:noProof/>
                <w:webHidden/>
              </w:rPr>
            </w:r>
            <w:r w:rsidR="00A81BEC">
              <w:rPr>
                <w:noProof/>
                <w:webHidden/>
              </w:rPr>
              <w:fldChar w:fldCharType="separate"/>
            </w:r>
            <w:r w:rsidR="00A81BEC">
              <w:rPr>
                <w:noProof/>
                <w:webHidden/>
              </w:rPr>
              <w:t>6</w:t>
            </w:r>
            <w:r w:rsidR="00A81BEC">
              <w:rPr>
                <w:noProof/>
                <w:webHidden/>
              </w:rPr>
              <w:fldChar w:fldCharType="end"/>
            </w:r>
          </w:hyperlink>
        </w:p>
        <w:p w14:paraId="5FB8017A" w14:textId="2BADD6AA" w:rsidR="00A81BEC" w:rsidRDefault="001E41EC">
          <w:pPr>
            <w:pStyle w:val="TOC3"/>
            <w:tabs>
              <w:tab w:val="right" w:leader="dot" w:pos="9016"/>
            </w:tabs>
            <w:rPr>
              <w:rFonts w:asciiTheme="minorHAnsi" w:eastAsiaTheme="minorEastAsia" w:hAnsiTheme="minorHAnsi"/>
              <w:noProof/>
              <w:sz w:val="22"/>
              <w:lang w:eastAsia="en-GB"/>
            </w:rPr>
          </w:pPr>
          <w:hyperlink w:anchor="_Toc106120899" w:history="1">
            <w:r w:rsidR="00A81BEC" w:rsidRPr="0031575F">
              <w:rPr>
                <w:rStyle w:val="Hyperlink"/>
                <w:noProof/>
              </w:rPr>
              <w:t>2d. Panel meetings and grant offers</w:t>
            </w:r>
            <w:r w:rsidR="00A81BEC">
              <w:rPr>
                <w:noProof/>
                <w:webHidden/>
              </w:rPr>
              <w:tab/>
            </w:r>
            <w:r w:rsidR="00A81BEC">
              <w:rPr>
                <w:noProof/>
                <w:webHidden/>
              </w:rPr>
              <w:fldChar w:fldCharType="begin"/>
            </w:r>
            <w:r w:rsidR="00A81BEC">
              <w:rPr>
                <w:noProof/>
                <w:webHidden/>
              </w:rPr>
              <w:instrText xml:space="preserve"> PAGEREF _Toc106120899 \h </w:instrText>
            </w:r>
            <w:r w:rsidR="00A81BEC">
              <w:rPr>
                <w:noProof/>
                <w:webHidden/>
              </w:rPr>
            </w:r>
            <w:r w:rsidR="00A81BEC">
              <w:rPr>
                <w:noProof/>
                <w:webHidden/>
              </w:rPr>
              <w:fldChar w:fldCharType="separate"/>
            </w:r>
            <w:r w:rsidR="00A81BEC">
              <w:rPr>
                <w:noProof/>
                <w:webHidden/>
              </w:rPr>
              <w:t>7</w:t>
            </w:r>
            <w:r w:rsidR="00A81BEC">
              <w:rPr>
                <w:noProof/>
                <w:webHidden/>
              </w:rPr>
              <w:fldChar w:fldCharType="end"/>
            </w:r>
          </w:hyperlink>
        </w:p>
        <w:p w14:paraId="311D8C46" w14:textId="65B91AF4" w:rsidR="00A81BEC" w:rsidRDefault="001E41EC">
          <w:pPr>
            <w:pStyle w:val="TOC3"/>
            <w:tabs>
              <w:tab w:val="right" w:leader="dot" w:pos="9016"/>
            </w:tabs>
            <w:rPr>
              <w:rFonts w:asciiTheme="minorHAnsi" w:eastAsiaTheme="minorEastAsia" w:hAnsiTheme="minorHAnsi"/>
              <w:noProof/>
              <w:sz w:val="22"/>
              <w:lang w:eastAsia="en-GB"/>
            </w:rPr>
          </w:pPr>
          <w:hyperlink w:anchor="_Toc106120900" w:history="1">
            <w:r w:rsidR="00A81BEC" w:rsidRPr="0031575F">
              <w:rPr>
                <w:rStyle w:val="Hyperlink"/>
                <w:noProof/>
              </w:rPr>
              <w:t>2e. Applicant feedback on DES funding application process</w:t>
            </w:r>
            <w:r w:rsidR="00A81BEC">
              <w:rPr>
                <w:noProof/>
                <w:webHidden/>
              </w:rPr>
              <w:tab/>
            </w:r>
            <w:r w:rsidR="00A81BEC">
              <w:rPr>
                <w:noProof/>
                <w:webHidden/>
              </w:rPr>
              <w:fldChar w:fldCharType="begin"/>
            </w:r>
            <w:r w:rsidR="00A81BEC">
              <w:rPr>
                <w:noProof/>
                <w:webHidden/>
              </w:rPr>
              <w:instrText xml:space="preserve"> PAGEREF _Toc106120900 \h </w:instrText>
            </w:r>
            <w:r w:rsidR="00A81BEC">
              <w:rPr>
                <w:noProof/>
                <w:webHidden/>
              </w:rPr>
            </w:r>
            <w:r w:rsidR="00A81BEC">
              <w:rPr>
                <w:noProof/>
                <w:webHidden/>
              </w:rPr>
              <w:fldChar w:fldCharType="separate"/>
            </w:r>
            <w:r w:rsidR="00A81BEC">
              <w:rPr>
                <w:noProof/>
                <w:webHidden/>
              </w:rPr>
              <w:t>8</w:t>
            </w:r>
            <w:r w:rsidR="00A81BEC">
              <w:rPr>
                <w:noProof/>
                <w:webHidden/>
              </w:rPr>
              <w:fldChar w:fldCharType="end"/>
            </w:r>
          </w:hyperlink>
        </w:p>
        <w:p w14:paraId="559B22EF" w14:textId="5A7536CB" w:rsidR="00A81BEC" w:rsidRDefault="001E41EC">
          <w:pPr>
            <w:pStyle w:val="TOC3"/>
            <w:tabs>
              <w:tab w:val="right" w:leader="dot" w:pos="9016"/>
            </w:tabs>
            <w:rPr>
              <w:rFonts w:asciiTheme="minorHAnsi" w:eastAsiaTheme="minorEastAsia" w:hAnsiTheme="minorHAnsi"/>
              <w:noProof/>
              <w:sz w:val="22"/>
              <w:lang w:eastAsia="en-GB"/>
            </w:rPr>
          </w:pPr>
          <w:hyperlink w:anchor="_Toc106120901" w:history="1">
            <w:r w:rsidR="00A81BEC" w:rsidRPr="0031575F">
              <w:rPr>
                <w:rStyle w:val="Hyperlink"/>
                <w:noProof/>
              </w:rPr>
              <w:t>2f. Inspiring Scotland reflections for future application processes</w:t>
            </w:r>
            <w:r w:rsidR="00A81BEC">
              <w:rPr>
                <w:noProof/>
                <w:webHidden/>
              </w:rPr>
              <w:tab/>
            </w:r>
            <w:r w:rsidR="00A81BEC">
              <w:rPr>
                <w:noProof/>
                <w:webHidden/>
              </w:rPr>
              <w:fldChar w:fldCharType="begin"/>
            </w:r>
            <w:r w:rsidR="00A81BEC">
              <w:rPr>
                <w:noProof/>
                <w:webHidden/>
              </w:rPr>
              <w:instrText xml:space="preserve"> PAGEREF _Toc106120901 \h </w:instrText>
            </w:r>
            <w:r w:rsidR="00A81BEC">
              <w:rPr>
                <w:noProof/>
                <w:webHidden/>
              </w:rPr>
            </w:r>
            <w:r w:rsidR="00A81BEC">
              <w:rPr>
                <w:noProof/>
                <w:webHidden/>
              </w:rPr>
              <w:fldChar w:fldCharType="separate"/>
            </w:r>
            <w:r w:rsidR="00A81BEC">
              <w:rPr>
                <w:noProof/>
                <w:webHidden/>
              </w:rPr>
              <w:t>8</w:t>
            </w:r>
            <w:r w:rsidR="00A81BEC">
              <w:rPr>
                <w:noProof/>
                <w:webHidden/>
              </w:rPr>
              <w:fldChar w:fldCharType="end"/>
            </w:r>
          </w:hyperlink>
        </w:p>
        <w:p w14:paraId="3B980BEF" w14:textId="2E8E494B" w:rsidR="00A81BEC" w:rsidRDefault="001E41EC">
          <w:pPr>
            <w:pStyle w:val="TOC2"/>
            <w:tabs>
              <w:tab w:val="left" w:pos="880"/>
              <w:tab w:val="right" w:leader="dot" w:pos="9016"/>
            </w:tabs>
            <w:rPr>
              <w:rFonts w:asciiTheme="minorHAnsi" w:eastAsiaTheme="minorEastAsia" w:hAnsiTheme="minorHAnsi"/>
              <w:noProof/>
              <w:sz w:val="22"/>
              <w:lang w:eastAsia="en-GB"/>
            </w:rPr>
          </w:pPr>
          <w:hyperlink w:anchor="_Toc106120902" w:history="1">
            <w:r w:rsidR="00A81BEC" w:rsidRPr="0031575F">
              <w:rPr>
                <w:rStyle w:val="Hyperlink"/>
                <w:noProof/>
              </w:rPr>
              <w:t>3.</w:t>
            </w:r>
            <w:r w:rsidR="00A81BEC">
              <w:rPr>
                <w:rFonts w:asciiTheme="minorHAnsi" w:eastAsiaTheme="minorEastAsia" w:hAnsiTheme="minorHAnsi"/>
                <w:noProof/>
                <w:sz w:val="22"/>
                <w:lang w:eastAsia="en-GB"/>
              </w:rPr>
              <w:tab/>
            </w:r>
            <w:r w:rsidR="00A81BEC" w:rsidRPr="0031575F">
              <w:rPr>
                <w:rStyle w:val="Hyperlink"/>
                <w:noProof/>
              </w:rPr>
              <w:t>Portfolio learning</w:t>
            </w:r>
            <w:r w:rsidR="00A81BEC">
              <w:rPr>
                <w:noProof/>
                <w:webHidden/>
              </w:rPr>
              <w:tab/>
            </w:r>
            <w:r w:rsidR="00A81BEC">
              <w:rPr>
                <w:noProof/>
                <w:webHidden/>
              </w:rPr>
              <w:fldChar w:fldCharType="begin"/>
            </w:r>
            <w:r w:rsidR="00A81BEC">
              <w:rPr>
                <w:noProof/>
                <w:webHidden/>
              </w:rPr>
              <w:instrText xml:space="preserve"> PAGEREF _Toc106120902 \h </w:instrText>
            </w:r>
            <w:r w:rsidR="00A81BEC">
              <w:rPr>
                <w:noProof/>
                <w:webHidden/>
              </w:rPr>
            </w:r>
            <w:r w:rsidR="00A81BEC">
              <w:rPr>
                <w:noProof/>
                <w:webHidden/>
              </w:rPr>
              <w:fldChar w:fldCharType="separate"/>
            </w:r>
            <w:r w:rsidR="00A81BEC">
              <w:rPr>
                <w:noProof/>
                <w:webHidden/>
              </w:rPr>
              <w:t>10</w:t>
            </w:r>
            <w:r w:rsidR="00A81BEC">
              <w:rPr>
                <w:noProof/>
                <w:webHidden/>
              </w:rPr>
              <w:fldChar w:fldCharType="end"/>
            </w:r>
          </w:hyperlink>
        </w:p>
        <w:p w14:paraId="530E92E2" w14:textId="1DEC2C7A" w:rsidR="00A81BEC" w:rsidRDefault="001E41EC">
          <w:pPr>
            <w:pStyle w:val="TOC2"/>
            <w:tabs>
              <w:tab w:val="right" w:leader="dot" w:pos="9016"/>
            </w:tabs>
            <w:rPr>
              <w:rFonts w:asciiTheme="minorHAnsi" w:eastAsiaTheme="minorEastAsia" w:hAnsiTheme="minorHAnsi"/>
              <w:noProof/>
              <w:sz w:val="22"/>
              <w:lang w:eastAsia="en-GB"/>
            </w:rPr>
          </w:pPr>
          <w:hyperlink w:anchor="_Toc106120903" w:history="1">
            <w:r w:rsidR="00A81BEC" w:rsidRPr="0031575F">
              <w:rPr>
                <w:rStyle w:val="Hyperlink"/>
                <w:noProof/>
              </w:rPr>
              <w:t>Inspiring Scotland team – concluding comments</w:t>
            </w:r>
            <w:r w:rsidR="00A81BEC">
              <w:rPr>
                <w:noProof/>
                <w:webHidden/>
              </w:rPr>
              <w:tab/>
            </w:r>
            <w:r w:rsidR="00A81BEC">
              <w:rPr>
                <w:noProof/>
                <w:webHidden/>
              </w:rPr>
              <w:fldChar w:fldCharType="begin"/>
            </w:r>
            <w:r w:rsidR="00A81BEC">
              <w:rPr>
                <w:noProof/>
                <w:webHidden/>
              </w:rPr>
              <w:instrText xml:space="preserve"> PAGEREF _Toc106120903 \h </w:instrText>
            </w:r>
            <w:r w:rsidR="00A81BEC">
              <w:rPr>
                <w:noProof/>
                <w:webHidden/>
              </w:rPr>
            </w:r>
            <w:r w:rsidR="00A81BEC">
              <w:rPr>
                <w:noProof/>
                <w:webHidden/>
              </w:rPr>
              <w:fldChar w:fldCharType="separate"/>
            </w:r>
            <w:r w:rsidR="00A81BEC">
              <w:rPr>
                <w:noProof/>
                <w:webHidden/>
              </w:rPr>
              <w:t>12</w:t>
            </w:r>
            <w:r w:rsidR="00A81BEC">
              <w:rPr>
                <w:noProof/>
                <w:webHidden/>
              </w:rPr>
              <w:fldChar w:fldCharType="end"/>
            </w:r>
          </w:hyperlink>
        </w:p>
        <w:p w14:paraId="1EF54EC6" w14:textId="7125D7BE" w:rsidR="002F4C3A" w:rsidRDefault="002F4C3A">
          <w:r>
            <w:rPr>
              <w:b/>
              <w:bCs/>
              <w:noProof/>
            </w:rPr>
            <w:fldChar w:fldCharType="end"/>
          </w:r>
        </w:p>
      </w:sdtContent>
    </w:sdt>
    <w:p w14:paraId="7CA4D0F8" w14:textId="77777777" w:rsidR="003D4B65" w:rsidRDefault="003D4B65" w:rsidP="003D4B65">
      <w:pPr>
        <w:rPr>
          <w:lang w:val="en-US"/>
        </w:rPr>
      </w:pPr>
      <w:r>
        <w:rPr>
          <w:lang w:val="en-US"/>
        </w:rPr>
        <w:t xml:space="preserve">A full progress report on the Fund is currently being compiled from six-month progress updates submitted by funded groups. This will be available and presented to the Scottish Government Violence Against Women and Girls team in late July. </w:t>
      </w:r>
    </w:p>
    <w:p w14:paraId="54F514EA" w14:textId="56D28AF5" w:rsidR="00103913" w:rsidRDefault="00103913" w:rsidP="003D4B65">
      <w:pPr>
        <w:rPr>
          <w:lang w:val="en-US"/>
        </w:rPr>
      </w:pPr>
      <w:r>
        <w:rPr>
          <w:lang w:val="en-US"/>
        </w:rPr>
        <w:t xml:space="preserve">All documents referred to in this paper are available if the Advisory </w:t>
      </w:r>
      <w:r w:rsidR="005D368A">
        <w:rPr>
          <w:lang w:val="en-US"/>
        </w:rPr>
        <w:t>Group would like further information</w:t>
      </w:r>
      <w:r>
        <w:rPr>
          <w:lang w:val="en-US"/>
        </w:rPr>
        <w:t xml:space="preserve">, and </w:t>
      </w:r>
      <w:r w:rsidR="005D368A">
        <w:rPr>
          <w:lang w:val="en-US"/>
        </w:rPr>
        <w:t xml:space="preserve">we are happy to provide more information on any </w:t>
      </w:r>
      <w:r w:rsidR="000411FA">
        <w:rPr>
          <w:lang w:val="en-US"/>
        </w:rPr>
        <w:t xml:space="preserve">points within the paper. </w:t>
      </w:r>
    </w:p>
    <w:p w14:paraId="33EBEB0B" w14:textId="7A76C5D9" w:rsidR="003E3CBF" w:rsidRDefault="003E3CBF">
      <w:pPr>
        <w:rPr>
          <w:rFonts w:eastAsiaTheme="majorEastAsia" w:cstheme="majorBidi"/>
          <w:b/>
          <w:bCs/>
          <w:sz w:val="26"/>
          <w:szCs w:val="26"/>
          <w:lang w:val="en-US"/>
        </w:rPr>
      </w:pPr>
      <w:r>
        <w:rPr>
          <w:bCs/>
        </w:rPr>
        <w:br w:type="page"/>
      </w:r>
    </w:p>
    <w:p w14:paraId="7E14772F" w14:textId="5388CE39" w:rsidR="00171ED4" w:rsidRDefault="008437DA" w:rsidP="00415CDA">
      <w:pPr>
        <w:pStyle w:val="Heading2"/>
        <w:numPr>
          <w:ilvl w:val="0"/>
          <w:numId w:val="5"/>
        </w:numPr>
        <w:rPr>
          <w:bCs/>
        </w:rPr>
      </w:pPr>
      <w:bookmarkStart w:id="1" w:name="_Toc106120892"/>
      <w:r>
        <w:lastRenderedPageBreak/>
        <w:t>Outline of</w:t>
      </w:r>
      <w:r w:rsidR="00E02E86">
        <w:t xml:space="preserve"> the</w:t>
      </w:r>
      <w:r>
        <w:t xml:space="preserve"> </w:t>
      </w:r>
      <w:r w:rsidR="00D0338D">
        <w:t xml:space="preserve">Delivering Equally Safe </w:t>
      </w:r>
      <w:r>
        <w:t>funding programme</w:t>
      </w:r>
      <w:bookmarkEnd w:id="1"/>
    </w:p>
    <w:p w14:paraId="67AF75CE" w14:textId="0949745B" w:rsidR="00A22388" w:rsidRPr="006B43B6" w:rsidRDefault="004056D1" w:rsidP="009D62E6">
      <w:pPr>
        <w:spacing w:before="120"/>
      </w:pPr>
      <w:r w:rsidRPr="006B43B6">
        <w:t xml:space="preserve">Delivering Equally Safe </w:t>
      </w:r>
      <w:r w:rsidR="00A22388" w:rsidRPr="006B43B6">
        <w:t xml:space="preserve">(DES) </w:t>
      </w:r>
      <w:r w:rsidRPr="006B43B6">
        <w:t>i</w:t>
      </w:r>
      <w:r w:rsidR="005D1210" w:rsidRPr="006B43B6">
        <w:t xml:space="preserve">s a 3.5 year </w:t>
      </w:r>
      <w:r w:rsidR="009D62E6" w:rsidRPr="006B43B6">
        <w:t>funding programme, supporting</w:t>
      </w:r>
      <w:r w:rsidR="00FD2AC2" w:rsidRPr="006B43B6">
        <w:t xml:space="preserve"> </w:t>
      </w:r>
      <w:r w:rsidR="0029219C" w:rsidRPr="006B43B6">
        <w:t xml:space="preserve">activity </w:t>
      </w:r>
      <w:r w:rsidR="007B07F9">
        <w:t>a</w:t>
      </w:r>
      <w:r w:rsidR="00241C13" w:rsidRPr="006B43B6">
        <w:t>cross the voluntary and public sector</w:t>
      </w:r>
      <w:r w:rsidR="00257FCD" w:rsidRPr="006B43B6">
        <w:t xml:space="preserve">. Funded work </w:t>
      </w:r>
      <w:r w:rsidR="0029219C" w:rsidRPr="006B43B6">
        <w:t xml:space="preserve">contributes to </w:t>
      </w:r>
      <w:r w:rsidR="00BF5B76" w:rsidRPr="006B43B6">
        <w:t xml:space="preserve">the </w:t>
      </w:r>
      <w:r w:rsidR="00682BD5" w:rsidRPr="006B43B6">
        <w:t xml:space="preserve">outcomes and priorities </w:t>
      </w:r>
      <w:r w:rsidR="00257FCD" w:rsidRPr="006B43B6">
        <w:t>contained within</w:t>
      </w:r>
      <w:r w:rsidR="00682BD5" w:rsidRPr="006B43B6">
        <w:t xml:space="preserve"> the Scottish Government and COSLA</w:t>
      </w:r>
      <w:r w:rsidR="00241C13" w:rsidRPr="006B43B6">
        <w:t>’</w:t>
      </w:r>
      <w:r w:rsidR="00682BD5" w:rsidRPr="006B43B6">
        <w:t>s Equally Safe strategy</w:t>
      </w:r>
      <w:r w:rsidR="00733216" w:rsidRPr="006B43B6">
        <w:t xml:space="preserve">. </w:t>
      </w:r>
    </w:p>
    <w:p w14:paraId="3B1B2BB1" w14:textId="5722A8B8" w:rsidR="00D0338D" w:rsidRPr="006B43B6" w:rsidRDefault="00C17316" w:rsidP="009D62E6">
      <w:pPr>
        <w:spacing w:before="120"/>
      </w:pPr>
      <w:r w:rsidRPr="006B43B6">
        <w:t xml:space="preserve">DES </w:t>
      </w:r>
      <w:r w:rsidR="00696EF8" w:rsidRPr="006B43B6">
        <w:t>is an evolution of previous Scottish Government funding streams</w:t>
      </w:r>
      <w:r w:rsidR="00241C13" w:rsidRPr="006B43B6">
        <w:t>,</w:t>
      </w:r>
      <w:r w:rsidR="00696EF8" w:rsidRPr="006B43B6">
        <w:t xml:space="preserve"> Equally Safe Violence Against Women and Girls</w:t>
      </w:r>
      <w:r w:rsidRPr="006B43B6">
        <w:t xml:space="preserve"> (ESVAWG)</w:t>
      </w:r>
      <w:r w:rsidR="00696EF8" w:rsidRPr="006B43B6">
        <w:t xml:space="preserve"> Fund and </w:t>
      </w:r>
      <w:r w:rsidR="00E21BCC" w:rsidRPr="006B43B6">
        <w:t xml:space="preserve">the </w:t>
      </w:r>
      <w:r w:rsidR="00696EF8" w:rsidRPr="006B43B6">
        <w:t>Rape Crisis Specific Fund</w:t>
      </w:r>
      <w:r w:rsidR="00E21BCC" w:rsidRPr="006B43B6">
        <w:t>,</w:t>
      </w:r>
      <w:r w:rsidR="00696EF8" w:rsidRPr="006B43B6">
        <w:t xml:space="preserve"> </w:t>
      </w:r>
      <w:r w:rsidR="00207DA2" w:rsidRPr="006B43B6">
        <w:t xml:space="preserve">which ran from </w:t>
      </w:r>
      <w:r w:rsidR="000E3381" w:rsidRPr="006B43B6">
        <w:t xml:space="preserve">April </w:t>
      </w:r>
      <w:r w:rsidR="00544288" w:rsidRPr="006B43B6">
        <w:t>2017</w:t>
      </w:r>
      <w:r w:rsidR="000E3381" w:rsidRPr="006B43B6">
        <w:t xml:space="preserve"> to September 2021</w:t>
      </w:r>
      <w:r w:rsidR="00053509" w:rsidRPr="006B43B6">
        <w:t xml:space="preserve">. </w:t>
      </w:r>
      <w:r w:rsidR="00BB361C" w:rsidRPr="006B43B6">
        <w:t xml:space="preserve"> </w:t>
      </w:r>
    </w:p>
    <w:p w14:paraId="7E4C760E" w14:textId="4C29DA91" w:rsidR="00894693" w:rsidRDefault="00A06D51" w:rsidP="00D0338D">
      <w:r>
        <w:t>Between October 2021 and September 202</w:t>
      </w:r>
      <w:r w:rsidR="00BA2BF9">
        <w:t>3, funding of £</w:t>
      </w:r>
      <w:r w:rsidR="000F3162">
        <w:t>38</w:t>
      </w:r>
      <w:r w:rsidR="003C0325">
        <w:t>m [£19m p.a]</w:t>
      </w:r>
      <w:r w:rsidR="00BA2BF9">
        <w:t xml:space="preserve"> will be distributed </w:t>
      </w:r>
      <w:r w:rsidR="000675AB">
        <w:t>to 112 organisations delivering 121 projects. Funding amounts from October 202</w:t>
      </w:r>
      <w:r w:rsidR="00CD14AC">
        <w:t>3</w:t>
      </w:r>
      <w:r w:rsidR="000675AB">
        <w:t xml:space="preserve"> </w:t>
      </w:r>
      <w:r w:rsidR="00FB6B7A">
        <w:t>to March 20</w:t>
      </w:r>
      <w:r w:rsidR="00CD14AC">
        <w:t xml:space="preserve">25 </w:t>
      </w:r>
      <w:r w:rsidR="000675AB">
        <w:t>are to be determined</w:t>
      </w:r>
      <w:r w:rsidR="00241C13">
        <w:rPr>
          <w:rStyle w:val="FootnoteReference"/>
        </w:rPr>
        <w:footnoteReference w:id="1"/>
      </w:r>
      <w:r w:rsidR="000675AB">
        <w:t xml:space="preserve">. </w:t>
      </w:r>
    </w:p>
    <w:p w14:paraId="6F92973D" w14:textId="0AA7F2FA" w:rsidR="009C4033" w:rsidRDefault="005879D2" w:rsidP="00D0338D">
      <w:r>
        <w:t xml:space="preserve">DES </w:t>
      </w:r>
      <w:r w:rsidR="00B74228">
        <w:t xml:space="preserve">is an increase in funding </w:t>
      </w:r>
      <w:r w:rsidR="00786CD1">
        <w:t>from</w:t>
      </w:r>
      <w:r w:rsidR="00E6579B">
        <w:t xml:space="preserve"> the</w:t>
      </w:r>
      <w:r w:rsidR="00786CD1">
        <w:t xml:space="preserve"> </w:t>
      </w:r>
      <w:r w:rsidR="00894693">
        <w:t xml:space="preserve">ESVAWG and RCS funding programmes which </w:t>
      </w:r>
      <w:r w:rsidR="00DC1876">
        <w:t>distributed £7.3m per annum to 72 organisations between 2017 and 202</w:t>
      </w:r>
      <w:r w:rsidR="004D024C">
        <w:t xml:space="preserve">, however </w:t>
      </w:r>
      <w:r w:rsidR="00B43BBC">
        <w:t xml:space="preserve">DES </w:t>
      </w:r>
      <w:r w:rsidR="004D024C">
        <w:t xml:space="preserve">also incorporates </w:t>
      </w:r>
      <w:r w:rsidR="002D30CB">
        <w:t>funding to groups that were pre</w:t>
      </w:r>
      <w:r w:rsidR="004F0A65">
        <w:t>viously funded directly from the Scottish Government</w:t>
      </w:r>
      <w:r w:rsidR="009113B1">
        <w:t xml:space="preserve"> </w:t>
      </w:r>
      <w:r w:rsidR="00C05028">
        <w:t xml:space="preserve">to the value of £4.3m per year. </w:t>
      </w:r>
    </w:p>
    <w:p w14:paraId="5FB850E7" w14:textId="1A90E13F" w:rsidR="00B84EEA" w:rsidRDefault="004E204C" w:rsidP="00515FCA">
      <w:pPr>
        <w:pStyle w:val="Heading3"/>
      </w:pPr>
      <w:bookmarkStart w:id="2" w:name="_Toc106120893"/>
      <w:r w:rsidRPr="00515FCA">
        <w:t xml:space="preserve">1a. </w:t>
      </w:r>
      <w:r w:rsidR="00C23E56">
        <w:t>P</w:t>
      </w:r>
      <w:r w:rsidR="00D3195A" w:rsidRPr="00515FCA">
        <w:t xml:space="preserve">ortfolio </w:t>
      </w:r>
      <w:r w:rsidR="00C23E56">
        <w:t>of funded organisations and projects</w:t>
      </w:r>
      <w:bookmarkEnd w:id="2"/>
      <w:r w:rsidR="00C23E56">
        <w:t xml:space="preserve"> </w:t>
      </w:r>
    </w:p>
    <w:p w14:paraId="36FD8085" w14:textId="6B9DF04B" w:rsidR="00515FCA" w:rsidRDefault="005F426E" w:rsidP="00C23E56">
      <w:pPr>
        <w:spacing w:before="120"/>
      </w:pPr>
      <w:r>
        <w:t>The table</w:t>
      </w:r>
      <w:r w:rsidR="008F1B33">
        <w:t>s</w:t>
      </w:r>
      <w:r>
        <w:t xml:space="preserve"> </w:t>
      </w:r>
      <w:r w:rsidR="002D30CB">
        <w:t>below</w:t>
      </w:r>
      <w:r>
        <w:t xml:space="preserve"> provide headline information on the make-up and funding levels of the DES portfolio</w:t>
      </w:r>
      <w:r w:rsidR="006D014E">
        <w:t xml:space="preserve">. </w:t>
      </w:r>
    </w:p>
    <w:tbl>
      <w:tblPr>
        <w:tblStyle w:val="TableGrid"/>
        <w:tblW w:w="5000" w:type="pct"/>
        <w:tblLook w:val="04A0" w:firstRow="1" w:lastRow="0" w:firstColumn="1" w:lastColumn="0" w:noHBand="0" w:noVBand="1"/>
      </w:tblPr>
      <w:tblGrid>
        <w:gridCol w:w="9016"/>
      </w:tblGrid>
      <w:tr w:rsidR="00643233" w14:paraId="39FD2C08" w14:textId="77777777" w:rsidTr="002930CD">
        <w:tc>
          <w:tcPr>
            <w:tcW w:w="5000" w:type="pct"/>
            <w:shd w:val="clear" w:color="auto" w:fill="D9D9D9" w:themeFill="background1" w:themeFillShade="D9"/>
          </w:tcPr>
          <w:p w14:paraId="3476508E" w14:textId="1FC4C369" w:rsidR="00643233" w:rsidRPr="008F1B33" w:rsidRDefault="00EA4EFD" w:rsidP="00EF76AD">
            <w:pPr>
              <w:spacing w:after="120"/>
              <w:rPr>
                <w:b/>
                <w:bCs/>
              </w:rPr>
            </w:pPr>
            <w:r w:rsidRPr="008F1B33">
              <w:rPr>
                <w:b/>
                <w:bCs/>
              </w:rPr>
              <w:t>Delivering Equally Safe portfolio [as at Grant offer October 2021]</w:t>
            </w:r>
          </w:p>
        </w:tc>
      </w:tr>
    </w:tbl>
    <w:p w14:paraId="7823B36E" w14:textId="77777777" w:rsidR="00B40D00" w:rsidRPr="00B40D00" w:rsidRDefault="00B40D00">
      <w:pPr>
        <w:rPr>
          <w:sz w:val="2"/>
          <w:szCs w:val="2"/>
        </w:rPr>
      </w:pPr>
    </w:p>
    <w:tbl>
      <w:tblPr>
        <w:tblStyle w:val="TableGrid"/>
        <w:tblW w:w="5000" w:type="pct"/>
        <w:tblLook w:val="04A0" w:firstRow="1" w:lastRow="0" w:firstColumn="1" w:lastColumn="0" w:noHBand="0" w:noVBand="1"/>
      </w:tblPr>
      <w:tblGrid>
        <w:gridCol w:w="3656"/>
        <w:gridCol w:w="687"/>
        <w:gridCol w:w="1855"/>
        <w:gridCol w:w="483"/>
        <w:gridCol w:w="1792"/>
        <w:gridCol w:w="543"/>
      </w:tblGrid>
      <w:tr w:rsidR="0070696E" w14:paraId="04933990" w14:textId="77777777" w:rsidTr="0070696E">
        <w:tc>
          <w:tcPr>
            <w:tcW w:w="2034" w:type="pct"/>
            <w:shd w:val="clear" w:color="auto" w:fill="F2F2F2" w:themeFill="background1" w:themeFillShade="F2"/>
          </w:tcPr>
          <w:p w14:paraId="3B6C35CD" w14:textId="2B611D96" w:rsidR="00234FD6" w:rsidRDefault="00234FD6" w:rsidP="009A5D8B">
            <w:r>
              <w:t xml:space="preserve">Number of projects/ grants </w:t>
            </w:r>
          </w:p>
        </w:tc>
        <w:tc>
          <w:tcPr>
            <w:tcW w:w="387" w:type="pct"/>
          </w:tcPr>
          <w:p w14:paraId="06864F6F" w14:textId="77777777" w:rsidR="00234FD6" w:rsidRDefault="00234FD6" w:rsidP="009A5D8B">
            <w:r>
              <w:t>121</w:t>
            </w:r>
          </w:p>
        </w:tc>
        <w:tc>
          <w:tcPr>
            <w:tcW w:w="1035" w:type="pct"/>
            <w:shd w:val="clear" w:color="auto" w:fill="F2F2F2" w:themeFill="background1" w:themeFillShade="F2"/>
          </w:tcPr>
          <w:p w14:paraId="69A21BE8" w14:textId="17C2BC90" w:rsidR="00234FD6" w:rsidRDefault="00F810BF" w:rsidP="00B736C3">
            <w:pPr>
              <w:jc w:val="right"/>
            </w:pPr>
            <w:r>
              <w:t>Single</w:t>
            </w:r>
          </w:p>
        </w:tc>
        <w:tc>
          <w:tcPr>
            <w:tcW w:w="236" w:type="pct"/>
          </w:tcPr>
          <w:p w14:paraId="0B15712C" w14:textId="056844F5" w:rsidR="00234FD6" w:rsidRDefault="00F810BF" w:rsidP="009A5D8B">
            <w:r>
              <w:t>98</w:t>
            </w:r>
          </w:p>
        </w:tc>
        <w:tc>
          <w:tcPr>
            <w:tcW w:w="1000" w:type="pct"/>
            <w:shd w:val="clear" w:color="auto" w:fill="F2F2F2" w:themeFill="background1" w:themeFillShade="F2"/>
          </w:tcPr>
          <w:p w14:paraId="50A348F3" w14:textId="0BFB7D6A" w:rsidR="00234FD6" w:rsidRDefault="00F810BF" w:rsidP="00B736C3">
            <w:pPr>
              <w:jc w:val="right"/>
            </w:pPr>
            <w:r>
              <w:t>Partnership</w:t>
            </w:r>
          </w:p>
        </w:tc>
        <w:tc>
          <w:tcPr>
            <w:tcW w:w="307" w:type="pct"/>
          </w:tcPr>
          <w:p w14:paraId="4158BE8F" w14:textId="4EEE219B" w:rsidR="00234FD6" w:rsidRDefault="00F810BF" w:rsidP="009A5D8B">
            <w:r>
              <w:t>23</w:t>
            </w:r>
            <w:r w:rsidR="00946E5D">
              <w:t xml:space="preserve"> </w:t>
            </w:r>
          </w:p>
        </w:tc>
      </w:tr>
      <w:tr w:rsidR="0070696E" w14:paraId="79441DCF" w14:textId="77777777" w:rsidTr="00202F8D">
        <w:tc>
          <w:tcPr>
            <w:tcW w:w="2034" w:type="pct"/>
            <w:shd w:val="clear" w:color="auto" w:fill="F2F2F2" w:themeFill="background1" w:themeFillShade="F2"/>
          </w:tcPr>
          <w:p w14:paraId="7C1340D4" w14:textId="5F8C54D7" w:rsidR="00946E5D" w:rsidRDefault="00946E5D" w:rsidP="009A5D8B">
            <w:r>
              <w:t xml:space="preserve">Number of funded organisations </w:t>
            </w:r>
          </w:p>
        </w:tc>
        <w:tc>
          <w:tcPr>
            <w:tcW w:w="387" w:type="pct"/>
          </w:tcPr>
          <w:p w14:paraId="68C3D826" w14:textId="77777777" w:rsidR="00946E5D" w:rsidRDefault="00946E5D" w:rsidP="009A5D8B">
            <w:r>
              <w:t>112</w:t>
            </w:r>
          </w:p>
        </w:tc>
        <w:tc>
          <w:tcPr>
            <w:tcW w:w="1035" w:type="pct"/>
            <w:shd w:val="clear" w:color="auto" w:fill="F2F2F2" w:themeFill="background1" w:themeFillShade="F2"/>
          </w:tcPr>
          <w:p w14:paraId="3C480E6F" w14:textId="56D9451F" w:rsidR="00946E5D" w:rsidRDefault="00946E5D" w:rsidP="00B736C3">
            <w:pPr>
              <w:jc w:val="right"/>
            </w:pPr>
            <w:r>
              <w:t>Third Sector</w:t>
            </w:r>
          </w:p>
        </w:tc>
        <w:tc>
          <w:tcPr>
            <w:tcW w:w="236" w:type="pct"/>
          </w:tcPr>
          <w:p w14:paraId="335E8FFE" w14:textId="08D7781F" w:rsidR="00946E5D" w:rsidRDefault="0058550A" w:rsidP="009A5D8B">
            <w:r>
              <w:t>93</w:t>
            </w:r>
          </w:p>
        </w:tc>
        <w:tc>
          <w:tcPr>
            <w:tcW w:w="1000" w:type="pct"/>
            <w:shd w:val="clear" w:color="auto" w:fill="F2F2F2" w:themeFill="background1" w:themeFillShade="F2"/>
          </w:tcPr>
          <w:p w14:paraId="4DC6CAAE" w14:textId="77C1AAA2" w:rsidR="00946E5D" w:rsidRDefault="00946E5D" w:rsidP="00B736C3">
            <w:pPr>
              <w:jc w:val="right"/>
            </w:pPr>
            <w:r>
              <w:t>Public</w:t>
            </w:r>
            <w:r w:rsidR="0070696E">
              <w:t xml:space="preserve"> bodies</w:t>
            </w:r>
            <w:r w:rsidR="007B48F4">
              <w:rPr>
                <w:rStyle w:val="FootnoteReference"/>
              </w:rPr>
              <w:footnoteReference w:id="2"/>
            </w:r>
          </w:p>
        </w:tc>
        <w:tc>
          <w:tcPr>
            <w:tcW w:w="307" w:type="pct"/>
          </w:tcPr>
          <w:p w14:paraId="0BDB5B24" w14:textId="7BCB98DA" w:rsidR="00946E5D" w:rsidRDefault="00F810BF" w:rsidP="009A5D8B">
            <w:r>
              <w:t>19</w:t>
            </w:r>
          </w:p>
        </w:tc>
      </w:tr>
    </w:tbl>
    <w:p w14:paraId="29274911" w14:textId="77777777" w:rsidR="00CA65A1" w:rsidRDefault="00CA65A1">
      <w:pPr>
        <w:rPr>
          <w:sz w:val="8"/>
          <w:szCs w:val="8"/>
        </w:rPr>
      </w:pPr>
    </w:p>
    <w:tbl>
      <w:tblPr>
        <w:tblStyle w:val="TableGrid"/>
        <w:tblW w:w="0" w:type="auto"/>
        <w:tblLook w:val="04A0" w:firstRow="1" w:lastRow="0" w:firstColumn="1" w:lastColumn="0" w:noHBand="0" w:noVBand="1"/>
      </w:tblPr>
      <w:tblGrid>
        <w:gridCol w:w="2547"/>
        <w:gridCol w:w="1961"/>
        <w:gridCol w:w="2254"/>
        <w:gridCol w:w="2254"/>
      </w:tblGrid>
      <w:tr w:rsidR="00000B1F" w14:paraId="0B23A5E7" w14:textId="77777777" w:rsidTr="002930CD">
        <w:tc>
          <w:tcPr>
            <w:tcW w:w="9016" w:type="dxa"/>
            <w:gridSpan w:val="4"/>
            <w:shd w:val="clear" w:color="auto" w:fill="D9D9D9" w:themeFill="background1" w:themeFillShade="D9"/>
          </w:tcPr>
          <w:p w14:paraId="0431F228" w14:textId="02226303" w:rsidR="00000B1F" w:rsidRPr="00003895" w:rsidRDefault="00641EB4">
            <w:pPr>
              <w:rPr>
                <w:b/>
                <w:bCs/>
                <w:szCs w:val="24"/>
              </w:rPr>
            </w:pPr>
            <w:r w:rsidRPr="00003895">
              <w:rPr>
                <w:b/>
                <w:bCs/>
                <w:szCs w:val="24"/>
              </w:rPr>
              <w:t xml:space="preserve">Range of </w:t>
            </w:r>
            <w:r w:rsidR="004C571E" w:rsidRPr="00003895">
              <w:rPr>
                <w:b/>
                <w:bCs/>
                <w:szCs w:val="24"/>
              </w:rPr>
              <w:t>grants offered (over 2 years)</w:t>
            </w:r>
          </w:p>
        </w:tc>
      </w:tr>
      <w:tr w:rsidR="004C571E" w14:paraId="4B54F064" w14:textId="77777777" w:rsidTr="00003895">
        <w:tc>
          <w:tcPr>
            <w:tcW w:w="2547" w:type="dxa"/>
          </w:tcPr>
          <w:p w14:paraId="03E828C9" w14:textId="765296D9" w:rsidR="004C571E" w:rsidRDefault="004C571E">
            <w:pPr>
              <w:rPr>
                <w:szCs w:val="24"/>
              </w:rPr>
            </w:pPr>
            <w:r>
              <w:rPr>
                <w:szCs w:val="24"/>
              </w:rPr>
              <w:t>Highest grant offer</w:t>
            </w:r>
          </w:p>
        </w:tc>
        <w:tc>
          <w:tcPr>
            <w:tcW w:w="1961" w:type="dxa"/>
          </w:tcPr>
          <w:p w14:paraId="7C716BBA" w14:textId="33E865C8" w:rsidR="004C571E" w:rsidRDefault="008E4E68">
            <w:pPr>
              <w:rPr>
                <w:szCs w:val="24"/>
              </w:rPr>
            </w:pPr>
            <w:r>
              <w:rPr>
                <w:szCs w:val="24"/>
              </w:rPr>
              <w:t>£1.8</w:t>
            </w:r>
            <w:r w:rsidR="00E83434">
              <w:rPr>
                <w:szCs w:val="24"/>
              </w:rPr>
              <w:t>74m</w:t>
            </w:r>
          </w:p>
        </w:tc>
        <w:tc>
          <w:tcPr>
            <w:tcW w:w="2254" w:type="dxa"/>
          </w:tcPr>
          <w:p w14:paraId="263EAE11" w14:textId="44984338" w:rsidR="004C571E" w:rsidRDefault="004C571E" w:rsidP="00E83434">
            <w:pPr>
              <w:jc w:val="right"/>
              <w:rPr>
                <w:szCs w:val="24"/>
              </w:rPr>
            </w:pPr>
            <w:r>
              <w:rPr>
                <w:szCs w:val="24"/>
              </w:rPr>
              <w:t>Lowest grant offer</w:t>
            </w:r>
          </w:p>
        </w:tc>
        <w:tc>
          <w:tcPr>
            <w:tcW w:w="2254" w:type="dxa"/>
          </w:tcPr>
          <w:p w14:paraId="6C5D1E01" w14:textId="4C1CA3B6" w:rsidR="004C571E" w:rsidRDefault="00E83434">
            <w:pPr>
              <w:rPr>
                <w:szCs w:val="24"/>
              </w:rPr>
            </w:pPr>
            <w:r>
              <w:rPr>
                <w:szCs w:val="24"/>
              </w:rPr>
              <w:t>£35,128</w:t>
            </w:r>
          </w:p>
        </w:tc>
      </w:tr>
      <w:tr w:rsidR="004C571E" w14:paraId="703F8D97" w14:textId="77777777" w:rsidTr="00003895">
        <w:tc>
          <w:tcPr>
            <w:tcW w:w="2547" w:type="dxa"/>
          </w:tcPr>
          <w:p w14:paraId="56587CF6" w14:textId="3031E46B" w:rsidR="004C571E" w:rsidRDefault="004C571E">
            <w:pPr>
              <w:rPr>
                <w:szCs w:val="24"/>
              </w:rPr>
            </w:pPr>
            <w:r>
              <w:rPr>
                <w:szCs w:val="24"/>
              </w:rPr>
              <w:t>Average grant offer</w:t>
            </w:r>
          </w:p>
        </w:tc>
        <w:tc>
          <w:tcPr>
            <w:tcW w:w="1961" w:type="dxa"/>
          </w:tcPr>
          <w:p w14:paraId="1BBECCCD" w14:textId="2B9EBFD4" w:rsidR="004C571E" w:rsidRDefault="00E83434">
            <w:pPr>
              <w:rPr>
                <w:szCs w:val="24"/>
              </w:rPr>
            </w:pPr>
            <w:r>
              <w:rPr>
                <w:szCs w:val="24"/>
              </w:rPr>
              <w:t>£316,217</w:t>
            </w:r>
          </w:p>
        </w:tc>
        <w:tc>
          <w:tcPr>
            <w:tcW w:w="2254" w:type="dxa"/>
          </w:tcPr>
          <w:p w14:paraId="01C38960" w14:textId="1605A822" w:rsidR="004C571E" w:rsidRDefault="004C571E" w:rsidP="00E83434">
            <w:pPr>
              <w:jc w:val="right"/>
              <w:rPr>
                <w:szCs w:val="24"/>
              </w:rPr>
            </w:pPr>
            <w:r>
              <w:rPr>
                <w:szCs w:val="24"/>
              </w:rPr>
              <w:t>Median grant offer</w:t>
            </w:r>
          </w:p>
        </w:tc>
        <w:tc>
          <w:tcPr>
            <w:tcW w:w="2254" w:type="dxa"/>
          </w:tcPr>
          <w:p w14:paraId="4579E47E" w14:textId="5D81F10B" w:rsidR="004C571E" w:rsidRDefault="00E83434">
            <w:pPr>
              <w:rPr>
                <w:szCs w:val="24"/>
              </w:rPr>
            </w:pPr>
            <w:r>
              <w:rPr>
                <w:szCs w:val="24"/>
              </w:rPr>
              <w:t>£261,061</w:t>
            </w:r>
          </w:p>
        </w:tc>
      </w:tr>
    </w:tbl>
    <w:p w14:paraId="764CCC70" w14:textId="77777777" w:rsidR="00FE0545" w:rsidRPr="00FE0545" w:rsidRDefault="00FE0545">
      <w:pPr>
        <w:rPr>
          <w:sz w:val="2"/>
          <w:szCs w:val="2"/>
        </w:rPr>
      </w:pPr>
    </w:p>
    <w:tbl>
      <w:tblPr>
        <w:tblStyle w:val="TableGrid"/>
        <w:tblW w:w="0" w:type="auto"/>
        <w:tblLook w:val="04A0" w:firstRow="1" w:lastRow="0" w:firstColumn="1" w:lastColumn="0" w:noHBand="0" w:noVBand="1"/>
      </w:tblPr>
      <w:tblGrid>
        <w:gridCol w:w="3397"/>
        <w:gridCol w:w="1136"/>
        <w:gridCol w:w="3265"/>
        <w:gridCol w:w="1218"/>
      </w:tblGrid>
      <w:tr w:rsidR="0028658C" w14:paraId="10CDFA27" w14:textId="77777777" w:rsidTr="0028658C">
        <w:tc>
          <w:tcPr>
            <w:tcW w:w="9016" w:type="dxa"/>
            <w:gridSpan w:val="4"/>
            <w:shd w:val="clear" w:color="auto" w:fill="D9D9D9" w:themeFill="background1" w:themeFillShade="D9"/>
          </w:tcPr>
          <w:p w14:paraId="77FF1B79" w14:textId="5301A400" w:rsidR="0028658C" w:rsidRDefault="0028658C" w:rsidP="00515FCA">
            <w:r>
              <w:rPr>
                <w:b/>
                <w:bCs/>
              </w:rPr>
              <w:t>Frontline services funded</w:t>
            </w:r>
          </w:p>
        </w:tc>
      </w:tr>
      <w:tr w:rsidR="009C2FDB" w14:paraId="5C2D415C" w14:textId="77777777" w:rsidTr="00C45C79">
        <w:tc>
          <w:tcPr>
            <w:tcW w:w="3397" w:type="dxa"/>
            <w:shd w:val="clear" w:color="auto" w:fill="F2F2F2" w:themeFill="background1" w:themeFillShade="F2"/>
          </w:tcPr>
          <w:p w14:paraId="4A127F76" w14:textId="01B5E6A6" w:rsidR="009C2FDB" w:rsidRDefault="009D3363" w:rsidP="00515FCA">
            <w:r>
              <w:t xml:space="preserve">Total no. </w:t>
            </w:r>
            <w:r w:rsidR="00455387">
              <w:t>of organisations</w:t>
            </w:r>
          </w:p>
        </w:tc>
        <w:tc>
          <w:tcPr>
            <w:tcW w:w="1136" w:type="dxa"/>
          </w:tcPr>
          <w:p w14:paraId="42B0A6FC" w14:textId="74929074" w:rsidR="009C2FDB" w:rsidRDefault="00455387" w:rsidP="00515FCA">
            <w:r>
              <w:t>91</w:t>
            </w:r>
          </w:p>
        </w:tc>
        <w:tc>
          <w:tcPr>
            <w:tcW w:w="3265" w:type="dxa"/>
            <w:shd w:val="clear" w:color="auto" w:fill="F2F2F2" w:themeFill="background1" w:themeFillShade="F2"/>
          </w:tcPr>
          <w:p w14:paraId="0E02F894" w14:textId="182BA94B" w:rsidR="009C2FDB" w:rsidRDefault="002A4FA2" w:rsidP="00C45C79">
            <w:pPr>
              <w:jc w:val="right"/>
            </w:pPr>
            <w:r>
              <w:t>%</w:t>
            </w:r>
            <w:r w:rsidR="00455387">
              <w:t xml:space="preserve"> of </w:t>
            </w:r>
            <w:r w:rsidR="00833651">
              <w:t xml:space="preserve">funded </w:t>
            </w:r>
            <w:r w:rsidR="00455387">
              <w:t>organisations</w:t>
            </w:r>
          </w:p>
        </w:tc>
        <w:tc>
          <w:tcPr>
            <w:tcW w:w="1218" w:type="dxa"/>
          </w:tcPr>
          <w:p w14:paraId="2306EFE1" w14:textId="7F4E644C" w:rsidR="009C2FDB" w:rsidRDefault="002A4FA2" w:rsidP="00515FCA">
            <w:r>
              <w:t>81</w:t>
            </w:r>
            <w:r w:rsidR="00242545">
              <w:t>%</w:t>
            </w:r>
          </w:p>
        </w:tc>
      </w:tr>
      <w:tr w:rsidR="002A4FA2" w14:paraId="6F4CF697" w14:textId="77777777" w:rsidTr="00C45C79">
        <w:tc>
          <w:tcPr>
            <w:tcW w:w="3397" w:type="dxa"/>
            <w:shd w:val="clear" w:color="auto" w:fill="F2F2F2" w:themeFill="background1" w:themeFillShade="F2"/>
          </w:tcPr>
          <w:p w14:paraId="57FE422A" w14:textId="644414C0" w:rsidR="002A4FA2" w:rsidRDefault="002F43CB" w:rsidP="00515FCA">
            <w:r>
              <w:t>Amount of funding (2 years)</w:t>
            </w:r>
          </w:p>
        </w:tc>
        <w:tc>
          <w:tcPr>
            <w:tcW w:w="1136" w:type="dxa"/>
          </w:tcPr>
          <w:p w14:paraId="503D21DE" w14:textId="27ACF8E4" w:rsidR="002A4FA2" w:rsidRDefault="002F43CB" w:rsidP="00515FCA">
            <w:r>
              <w:t>£29.4m</w:t>
            </w:r>
          </w:p>
        </w:tc>
        <w:tc>
          <w:tcPr>
            <w:tcW w:w="3265" w:type="dxa"/>
            <w:shd w:val="clear" w:color="auto" w:fill="F2F2F2" w:themeFill="background1" w:themeFillShade="F2"/>
          </w:tcPr>
          <w:p w14:paraId="54492EF8" w14:textId="2252C2B8" w:rsidR="002A4FA2" w:rsidRDefault="002F43CB" w:rsidP="00C45C79">
            <w:pPr>
              <w:jc w:val="right"/>
            </w:pPr>
            <w:r>
              <w:t>% of funding (2 years)</w:t>
            </w:r>
          </w:p>
        </w:tc>
        <w:tc>
          <w:tcPr>
            <w:tcW w:w="1218" w:type="dxa"/>
          </w:tcPr>
          <w:p w14:paraId="169BBA76" w14:textId="52ED7EDC" w:rsidR="002A4FA2" w:rsidRDefault="001D0C35" w:rsidP="00515FCA">
            <w:r>
              <w:t>77%</w:t>
            </w:r>
          </w:p>
        </w:tc>
      </w:tr>
    </w:tbl>
    <w:p w14:paraId="2B341663" w14:textId="77777777" w:rsidR="009D3363" w:rsidRPr="003E3CBF" w:rsidRDefault="009D3363">
      <w:pPr>
        <w:rPr>
          <w:sz w:val="2"/>
          <w:szCs w:val="2"/>
        </w:rPr>
      </w:pPr>
    </w:p>
    <w:tbl>
      <w:tblPr>
        <w:tblStyle w:val="TableGrid"/>
        <w:tblW w:w="0" w:type="auto"/>
        <w:tblLook w:val="04A0" w:firstRow="1" w:lastRow="0" w:firstColumn="1" w:lastColumn="0" w:noHBand="0" w:noVBand="1"/>
      </w:tblPr>
      <w:tblGrid>
        <w:gridCol w:w="3351"/>
        <w:gridCol w:w="483"/>
        <w:gridCol w:w="3205"/>
        <w:gridCol w:w="1178"/>
        <w:gridCol w:w="799"/>
      </w:tblGrid>
      <w:tr w:rsidR="00AD44E2" w14:paraId="50FC5662" w14:textId="77777777" w:rsidTr="00AD44E2">
        <w:tc>
          <w:tcPr>
            <w:tcW w:w="3351" w:type="dxa"/>
            <w:shd w:val="clear" w:color="auto" w:fill="F2F2F2" w:themeFill="background1" w:themeFillShade="F2"/>
          </w:tcPr>
          <w:p w14:paraId="220D7C1A" w14:textId="77777777" w:rsidR="00AD44E2" w:rsidRDefault="00AD44E2" w:rsidP="003E59A9">
            <w:r>
              <w:t>Women’s Aid Centres funded</w:t>
            </w:r>
          </w:p>
        </w:tc>
        <w:tc>
          <w:tcPr>
            <w:tcW w:w="483" w:type="dxa"/>
          </w:tcPr>
          <w:p w14:paraId="7A5EA5D1" w14:textId="77777777" w:rsidR="00AD44E2" w:rsidRDefault="00AD44E2" w:rsidP="003E59A9">
            <w:r>
              <w:t>41</w:t>
            </w:r>
          </w:p>
        </w:tc>
        <w:tc>
          <w:tcPr>
            <w:tcW w:w="3205" w:type="dxa"/>
            <w:shd w:val="clear" w:color="auto" w:fill="F2F2F2" w:themeFill="background1" w:themeFillShade="F2"/>
          </w:tcPr>
          <w:p w14:paraId="1C0C41DB" w14:textId="3959475E" w:rsidR="00AD44E2" w:rsidRDefault="00AD44E2" w:rsidP="003E59A9">
            <w:pPr>
              <w:jc w:val="right"/>
            </w:pPr>
            <w:r>
              <w:t>Amount of funding (2 years)</w:t>
            </w:r>
          </w:p>
        </w:tc>
        <w:tc>
          <w:tcPr>
            <w:tcW w:w="1178" w:type="dxa"/>
          </w:tcPr>
          <w:p w14:paraId="377EF61B" w14:textId="77777777" w:rsidR="00AD44E2" w:rsidRDefault="00AD44E2" w:rsidP="003E59A9">
            <w:r>
              <w:t>£15.4m</w:t>
            </w:r>
          </w:p>
        </w:tc>
        <w:tc>
          <w:tcPr>
            <w:tcW w:w="799" w:type="dxa"/>
          </w:tcPr>
          <w:p w14:paraId="1D473D03" w14:textId="1E6B7812" w:rsidR="00AD44E2" w:rsidRDefault="00326835" w:rsidP="003E59A9">
            <w:r>
              <w:t>40%</w:t>
            </w:r>
          </w:p>
        </w:tc>
      </w:tr>
      <w:tr w:rsidR="00AD44E2" w14:paraId="410E1278" w14:textId="77777777" w:rsidTr="00AD44E2">
        <w:tc>
          <w:tcPr>
            <w:tcW w:w="3351" w:type="dxa"/>
            <w:shd w:val="clear" w:color="auto" w:fill="F2F2F2" w:themeFill="background1" w:themeFillShade="F2"/>
          </w:tcPr>
          <w:p w14:paraId="6145F889" w14:textId="4B2B0C47" w:rsidR="00AD44E2" w:rsidRDefault="00AD44E2" w:rsidP="003E59A9">
            <w:r>
              <w:t>Rape Crisis Centres funded</w:t>
            </w:r>
          </w:p>
        </w:tc>
        <w:tc>
          <w:tcPr>
            <w:tcW w:w="483" w:type="dxa"/>
          </w:tcPr>
          <w:p w14:paraId="545C8DD7" w14:textId="2F0F3718" w:rsidR="00AD44E2" w:rsidRDefault="00AD44E2" w:rsidP="003E59A9">
            <w:r>
              <w:t>17</w:t>
            </w:r>
          </w:p>
        </w:tc>
        <w:tc>
          <w:tcPr>
            <w:tcW w:w="3205" w:type="dxa"/>
            <w:shd w:val="clear" w:color="auto" w:fill="F2F2F2" w:themeFill="background1" w:themeFillShade="F2"/>
          </w:tcPr>
          <w:p w14:paraId="7DBA446C" w14:textId="4ABC9FEA" w:rsidR="00AD44E2" w:rsidRDefault="00AD44E2" w:rsidP="003E59A9">
            <w:pPr>
              <w:jc w:val="right"/>
            </w:pPr>
            <w:r>
              <w:t>Amount of funding (2 years)</w:t>
            </w:r>
          </w:p>
        </w:tc>
        <w:tc>
          <w:tcPr>
            <w:tcW w:w="1178" w:type="dxa"/>
          </w:tcPr>
          <w:p w14:paraId="07414A42" w14:textId="77777777" w:rsidR="00AD44E2" w:rsidRDefault="00AD44E2" w:rsidP="003E59A9">
            <w:r>
              <w:t>£7.7m</w:t>
            </w:r>
          </w:p>
        </w:tc>
        <w:tc>
          <w:tcPr>
            <w:tcW w:w="799" w:type="dxa"/>
          </w:tcPr>
          <w:p w14:paraId="6DDFE2D6" w14:textId="62247FDF" w:rsidR="00AD44E2" w:rsidRDefault="00326835" w:rsidP="003E59A9">
            <w:r>
              <w:t>20%</w:t>
            </w:r>
          </w:p>
        </w:tc>
      </w:tr>
    </w:tbl>
    <w:p w14:paraId="589A7FF2" w14:textId="77777777" w:rsidR="005C365E" w:rsidRPr="005C365E" w:rsidRDefault="005C365E">
      <w:pPr>
        <w:rPr>
          <w:sz w:val="2"/>
          <w:szCs w:val="2"/>
        </w:rPr>
      </w:pPr>
    </w:p>
    <w:tbl>
      <w:tblPr>
        <w:tblStyle w:val="TableGrid"/>
        <w:tblW w:w="0" w:type="auto"/>
        <w:tblLook w:val="04A0" w:firstRow="1" w:lastRow="0" w:firstColumn="1" w:lastColumn="0" w:noHBand="0" w:noVBand="1"/>
      </w:tblPr>
      <w:tblGrid>
        <w:gridCol w:w="5524"/>
        <w:gridCol w:w="567"/>
        <w:gridCol w:w="2028"/>
        <w:gridCol w:w="897"/>
      </w:tblGrid>
      <w:tr w:rsidR="0028658C" w14:paraId="0DA911BA" w14:textId="77777777" w:rsidTr="0028658C">
        <w:tc>
          <w:tcPr>
            <w:tcW w:w="9016" w:type="dxa"/>
            <w:gridSpan w:val="4"/>
            <w:shd w:val="clear" w:color="auto" w:fill="D9D9D9" w:themeFill="background1" w:themeFillShade="D9"/>
          </w:tcPr>
          <w:p w14:paraId="17C8CE8F" w14:textId="566FD994" w:rsidR="0028658C" w:rsidRDefault="0028658C" w:rsidP="00BB6EDE">
            <w:r>
              <w:rPr>
                <w:b/>
                <w:bCs/>
              </w:rPr>
              <w:t>Specialist services funded</w:t>
            </w:r>
          </w:p>
        </w:tc>
      </w:tr>
      <w:tr w:rsidR="00FF0F08" w14:paraId="7B5A03F6" w14:textId="77777777" w:rsidTr="008F58D8">
        <w:tc>
          <w:tcPr>
            <w:tcW w:w="5524" w:type="dxa"/>
            <w:shd w:val="clear" w:color="auto" w:fill="F2F2F2" w:themeFill="background1" w:themeFillShade="F2"/>
          </w:tcPr>
          <w:p w14:paraId="1DD72AE8" w14:textId="4224FE3F" w:rsidR="00FF0F08" w:rsidRDefault="00FF0F08" w:rsidP="00FF0F08">
            <w:r>
              <w:t xml:space="preserve">Services for children and young people </w:t>
            </w:r>
          </w:p>
        </w:tc>
        <w:tc>
          <w:tcPr>
            <w:tcW w:w="567" w:type="dxa"/>
          </w:tcPr>
          <w:p w14:paraId="6295D434" w14:textId="37CA8DE1" w:rsidR="00FF0F08" w:rsidRDefault="00FF0F08" w:rsidP="00BB6EDE">
            <w:r>
              <w:t>43</w:t>
            </w:r>
          </w:p>
        </w:tc>
        <w:tc>
          <w:tcPr>
            <w:tcW w:w="2028" w:type="dxa"/>
            <w:shd w:val="clear" w:color="auto" w:fill="F2F2F2" w:themeFill="background1" w:themeFillShade="F2"/>
          </w:tcPr>
          <w:p w14:paraId="28FACB80" w14:textId="1BD0B187" w:rsidR="00FF0F08" w:rsidRDefault="00FF0F08" w:rsidP="00FF0F08">
            <w:pPr>
              <w:jc w:val="right"/>
            </w:pPr>
            <w:r>
              <w:t xml:space="preserve">% of funding </w:t>
            </w:r>
          </w:p>
        </w:tc>
        <w:tc>
          <w:tcPr>
            <w:tcW w:w="897" w:type="dxa"/>
          </w:tcPr>
          <w:p w14:paraId="385DA399" w14:textId="0CE9C51B" w:rsidR="00FF0F08" w:rsidRDefault="00BB6EDE" w:rsidP="00BB6EDE">
            <w:r>
              <w:t>35.5%</w:t>
            </w:r>
          </w:p>
        </w:tc>
      </w:tr>
      <w:tr w:rsidR="00FF0F08" w14:paraId="533053A5" w14:textId="77777777" w:rsidTr="008F58D8">
        <w:tc>
          <w:tcPr>
            <w:tcW w:w="5524" w:type="dxa"/>
            <w:shd w:val="clear" w:color="auto" w:fill="F2F2F2" w:themeFill="background1" w:themeFillShade="F2"/>
          </w:tcPr>
          <w:p w14:paraId="1ECF7BF8" w14:textId="203A9992" w:rsidR="00FF0F08" w:rsidRPr="00F015AC" w:rsidRDefault="00FF0F08" w:rsidP="00FF0F08">
            <w:r>
              <w:t xml:space="preserve">Services for ethnic minority communities </w:t>
            </w:r>
          </w:p>
        </w:tc>
        <w:tc>
          <w:tcPr>
            <w:tcW w:w="567" w:type="dxa"/>
          </w:tcPr>
          <w:p w14:paraId="18D39676" w14:textId="7B8DE754" w:rsidR="00FF0F08" w:rsidRPr="00F015AC" w:rsidRDefault="00FF0F08" w:rsidP="00BB6EDE">
            <w:r>
              <w:t>13</w:t>
            </w:r>
          </w:p>
        </w:tc>
        <w:tc>
          <w:tcPr>
            <w:tcW w:w="2028" w:type="dxa"/>
            <w:shd w:val="clear" w:color="auto" w:fill="F2F2F2" w:themeFill="background1" w:themeFillShade="F2"/>
          </w:tcPr>
          <w:p w14:paraId="0CDF1C02" w14:textId="59251CD8" w:rsidR="00FF0F08" w:rsidRPr="00F015AC" w:rsidRDefault="00FF0F08" w:rsidP="00FF0F08">
            <w:pPr>
              <w:jc w:val="right"/>
            </w:pPr>
            <w:r>
              <w:t xml:space="preserve">% of funding </w:t>
            </w:r>
          </w:p>
        </w:tc>
        <w:tc>
          <w:tcPr>
            <w:tcW w:w="897" w:type="dxa"/>
          </w:tcPr>
          <w:p w14:paraId="1F8883AD" w14:textId="668735F5" w:rsidR="00FF0F08" w:rsidRPr="00F015AC" w:rsidRDefault="00FF0F08" w:rsidP="00BB6EDE">
            <w:r>
              <w:t>10.7%</w:t>
            </w:r>
          </w:p>
        </w:tc>
      </w:tr>
      <w:tr w:rsidR="00FF0F08" w14:paraId="4036BB6C" w14:textId="77777777" w:rsidTr="008F58D8">
        <w:tc>
          <w:tcPr>
            <w:tcW w:w="5524" w:type="dxa"/>
            <w:shd w:val="clear" w:color="auto" w:fill="F2F2F2" w:themeFill="background1" w:themeFillShade="F2"/>
          </w:tcPr>
          <w:p w14:paraId="1EFEC502" w14:textId="032231FC" w:rsidR="00FF0F08" w:rsidRDefault="00FF0F08" w:rsidP="00FF0F08">
            <w:r>
              <w:t xml:space="preserve">Services for disabled people </w:t>
            </w:r>
          </w:p>
        </w:tc>
        <w:tc>
          <w:tcPr>
            <w:tcW w:w="567" w:type="dxa"/>
          </w:tcPr>
          <w:p w14:paraId="2ED8AC7A" w14:textId="4079F345" w:rsidR="00FF0F08" w:rsidRDefault="00FF0F08" w:rsidP="00BB6EDE">
            <w:r>
              <w:t>5</w:t>
            </w:r>
          </w:p>
        </w:tc>
        <w:tc>
          <w:tcPr>
            <w:tcW w:w="2028" w:type="dxa"/>
            <w:shd w:val="clear" w:color="auto" w:fill="F2F2F2" w:themeFill="background1" w:themeFillShade="F2"/>
          </w:tcPr>
          <w:p w14:paraId="495D9A7D" w14:textId="251AE0EE" w:rsidR="00FF0F08" w:rsidRDefault="00FF0F08" w:rsidP="00FF0F08">
            <w:pPr>
              <w:jc w:val="right"/>
            </w:pPr>
            <w:r>
              <w:t xml:space="preserve">% of funding </w:t>
            </w:r>
          </w:p>
        </w:tc>
        <w:tc>
          <w:tcPr>
            <w:tcW w:w="897" w:type="dxa"/>
          </w:tcPr>
          <w:p w14:paraId="26FC82E8" w14:textId="20E2D970" w:rsidR="00FF0F08" w:rsidRDefault="00BB6EDE" w:rsidP="00BB6EDE">
            <w:r>
              <w:t>4%</w:t>
            </w:r>
          </w:p>
        </w:tc>
      </w:tr>
      <w:tr w:rsidR="008F58D8" w14:paraId="3918204D" w14:textId="77777777" w:rsidTr="008F58D8">
        <w:tc>
          <w:tcPr>
            <w:tcW w:w="5524" w:type="dxa"/>
            <w:shd w:val="clear" w:color="auto" w:fill="F2F2F2" w:themeFill="background1" w:themeFillShade="F2"/>
          </w:tcPr>
          <w:p w14:paraId="4C7DD576" w14:textId="259D9A4F" w:rsidR="008F58D8" w:rsidRDefault="008F58D8" w:rsidP="008F58D8">
            <w:r>
              <w:t>Services for LGBT communities</w:t>
            </w:r>
          </w:p>
        </w:tc>
        <w:tc>
          <w:tcPr>
            <w:tcW w:w="567" w:type="dxa"/>
          </w:tcPr>
          <w:p w14:paraId="1272FC84" w14:textId="10F61C4A" w:rsidR="008F58D8" w:rsidRDefault="008F58D8" w:rsidP="008F58D8">
            <w:r>
              <w:t>1</w:t>
            </w:r>
          </w:p>
        </w:tc>
        <w:tc>
          <w:tcPr>
            <w:tcW w:w="2028" w:type="dxa"/>
            <w:shd w:val="clear" w:color="auto" w:fill="F2F2F2" w:themeFill="background1" w:themeFillShade="F2"/>
          </w:tcPr>
          <w:p w14:paraId="604E216D" w14:textId="2F5F1B10" w:rsidR="008F58D8" w:rsidRDefault="008F58D8" w:rsidP="008F58D8">
            <w:pPr>
              <w:jc w:val="right"/>
            </w:pPr>
            <w:r>
              <w:t xml:space="preserve">% of funding </w:t>
            </w:r>
          </w:p>
        </w:tc>
        <w:tc>
          <w:tcPr>
            <w:tcW w:w="897" w:type="dxa"/>
          </w:tcPr>
          <w:p w14:paraId="30654BC2" w14:textId="4E668E1B" w:rsidR="008F58D8" w:rsidRDefault="008F58D8" w:rsidP="008F58D8">
            <w:r>
              <w:t>1.6%</w:t>
            </w:r>
          </w:p>
        </w:tc>
      </w:tr>
    </w:tbl>
    <w:p w14:paraId="064F076F" w14:textId="77777777" w:rsidR="000302CA" w:rsidRPr="005C365E" w:rsidRDefault="000302CA">
      <w:pPr>
        <w:rPr>
          <w:sz w:val="8"/>
          <w:szCs w:val="8"/>
        </w:rPr>
      </w:pPr>
    </w:p>
    <w:tbl>
      <w:tblPr>
        <w:tblStyle w:val="TableGrid"/>
        <w:tblW w:w="0" w:type="auto"/>
        <w:tblLook w:val="04A0" w:firstRow="1" w:lastRow="0" w:firstColumn="1" w:lastColumn="0" w:noHBand="0" w:noVBand="1"/>
      </w:tblPr>
      <w:tblGrid>
        <w:gridCol w:w="5524"/>
        <w:gridCol w:w="567"/>
        <w:gridCol w:w="1984"/>
        <w:gridCol w:w="941"/>
      </w:tblGrid>
      <w:tr w:rsidR="003E3CBF" w14:paraId="613E2AEE" w14:textId="77777777" w:rsidTr="003E3CBF">
        <w:tc>
          <w:tcPr>
            <w:tcW w:w="9016" w:type="dxa"/>
            <w:gridSpan w:val="4"/>
            <w:shd w:val="clear" w:color="auto" w:fill="D9D9D9" w:themeFill="background1" w:themeFillShade="D9"/>
          </w:tcPr>
          <w:p w14:paraId="14CEEBF1" w14:textId="3EAC5AA6" w:rsidR="003E3CBF" w:rsidRDefault="003E3CBF" w:rsidP="00FD11D1">
            <w:r w:rsidRPr="00FD11D1">
              <w:rPr>
                <w:b/>
                <w:bCs/>
              </w:rPr>
              <w:t>Recognised models funded</w:t>
            </w:r>
          </w:p>
        </w:tc>
      </w:tr>
      <w:tr w:rsidR="00FD11D1" w14:paraId="38BBBAF3" w14:textId="77777777" w:rsidTr="00FD11D1">
        <w:tc>
          <w:tcPr>
            <w:tcW w:w="5524" w:type="dxa"/>
            <w:shd w:val="clear" w:color="auto" w:fill="F2F2F2" w:themeFill="background1" w:themeFillShade="F2"/>
          </w:tcPr>
          <w:p w14:paraId="2E065A97" w14:textId="483B630B" w:rsidR="00FD11D1" w:rsidRDefault="00FD11D1" w:rsidP="00FD11D1">
            <w:r>
              <w:t>Safe and Together</w:t>
            </w:r>
          </w:p>
        </w:tc>
        <w:tc>
          <w:tcPr>
            <w:tcW w:w="567" w:type="dxa"/>
          </w:tcPr>
          <w:p w14:paraId="44CE1CA9" w14:textId="39C76556" w:rsidR="00FD11D1" w:rsidRDefault="005C365E" w:rsidP="00FD11D1">
            <w:r>
              <w:t>12</w:t>
            </w:r>
          </w:p>
        </w:tc>
        <w:tc>
          <w:tcPr>
            <w:tcW w:w="1984" w:type="dxa"/>
            <w:shd w:val="clear" w:color="auto" w:fill="F2F2F2" w:themeFill="background1" w:themeFillShade="F2"/>
          </w:tcPr>
          <w:p w14:paraId="322E5603" w14:textId="701584F0" w:rsidR="00FD11D1" w:rsidRDefault="00FD11D1" w:rsidP="00FD11D1">
            <w:r>
              <w:t xml:space="preserve">% of funding </w:t>
            </w:r>
          </w:p>
        </w:tc>
        <w:tc>
          <w:tcPr>
            <w:tcW w:w="941" w:type="dxa"/>
          </w:tcPr>
          <w:p w14:paraId="13763429" w14:textId="5B71479A" w:rsidR="00FD11D1" w:rsidRDefault="005C365E" w:rsidP="00FD11D1">
            <w:r>
              <w:t>9.9%</w:t>
            </w:r>
          </w:p>
        </w:tc>
      </w:tr>
      <w:tr w:rsidR="00FD11D1" w14:paraId="6A3E0711" w14:textId="77777777" w:rsidTr="00FD11D1">
        <w:tc>
          <w:tcPr>
            <w:tcW w:w="5524" w:type="dxa"/>
            <w:shd w:val="clear" w:color="auto" w:fill="F2F2F2" w:themeFill="background1" w:themeFillShade="F2"/>
          </w:tcPr>
          <w:p w14:paraId="70FBF24F" w14:textId="12ED7697" w:rsidR="00FD11D1" w:rsidRDefault="00FD11D1" w:rsidP="00FD11D1">
            <w:r>
              <w:t>CEDAR</w:t>
            </w:r>
          </w:p>
        </w:tc>
        <w:tc>
          <w:tcPr>
            <w:tcW w:w="567" w:type="dxa"/>
          </w:tcPr>
          <w:p w14:paraId="0C8BA658" w14:textId="31877114" w:rsidR="00FD11D1" w:rsidRDefault="005C365E" w:rsidP="00FD11D1">
            <w:r>
              <w:t>8</w:t>
            </w:r>
          </w:p>
        </w:tc>
        <w:tc>
          <w:tcPr>
            <w:tcW w:w="1984" w:type="dxa"/>
            <w:shd w:val="clear" w:color="auto" w:fill="F2F2F2" w:themeFill="background1" w:themeFillShade="F2"/>
          </w:tcPr>
          <w:p w14:paraId="64792D8C" w14:textId="0499D31E" w:rsidR="00FD11D1" w:rsidRDefault="00FD11D1" w:rsidP="00FD11D1">
            <w:r>
              <w:t xml:space="preserve">% of funding </w:t>
            </w:r>
          </w:p>
        </w:tc>
        <w:tc>
          <w:tcPr>
            <w:tcW w:w="941" w:type="dxa"/>
          </w:tcPr>
          <w:p w14:paraId="17D53AD0" w14:textId="77E99F8B" w:rsidR="00FD11D1" w:rsidRDefault="005C365E" w:rsidP="00FD11D1">
            <w:r>
              <w:t>6.6%</w:t>
            </w:r>
          </w:p>
        </w:tc>
      </w:tr>
    </w:tbl>
    <w:p w14:paraId="5DBEBFDD" w14:textId="77777777" w:rsidR="00876C80" w:rsidRDefault="00876C80">
      <w:pPr>
        <w:rPr>
          <w:sz w:val="8"/>
          <w:szCs w:val="6"/>
        </w:rPr>
      </w:pPr>
    </w:p>
    <w:p w14:paraId="72968A66" w14:textId="355E2440" w:rsidR="00F975A5" w:rsidRPr="00F975A5" w:rsidRDefault="00F975A5">
      <w:pPr>
        <w:rPr>
          <w:sz w:val="2"/>
          <w:szCs w:val="2"/>
        </w:rPr>
      </w:pPr>
    </w:p>
    <w:tbl>
      <w:tblPr>
        <w:tblStyle w:val="TableGrid"/>
        <w:tblW w:w="5000" w:type="pct"/>
        <w:tblLook w:val="04A0" w:firstRow="1" w:lastRow="0" w:firstColumn="1" w:lastColumn="0" w:noHBand="0" w:noVBand="1"/>
      </w:tblPr>
      <w:tblGrid>
        <w:gridCol w:w="2497"/>
        <w:gridCol w:w="498"/>
        <w:gridCol w:w="2424"/>
        <w:gridCol w:w="884"/>
        <w:gridCol w:w="2012"/>
        <w:gridCol w:w="701"/>
      </w:tblGrid>
      <w:tr w:rsidR="003E3CBF" w14:paraId="088F558F" w14:textId="77777777" w:rsidTr="003E3CBF">
        <w:tc>
          <w:tcPr>
            <w:tcW w:w="5000" w:type="pct"/>
            <w:gridSpan w:val="6"/>
            <w:shd w:val="clear" w:color="auto" w:fill="D9D9D9" w:themeFill="background1" w:themeFillShade="D9"/>
          </w:tcPr>
          <w:p w14:paraId="3088BB89" w14:textId="3AC7CBAB" w:rsidR="003E3CBF" w:rsidRDefault="003E3CBF" w:rsidP="00515FCA">
            <w:r>
              <w:rPr>
                <w:b/>
                <w:bCs/>
              </w:rPr>
              <w:t>Prevention focussed activity funded</w:t>
            </w:r>
          </w:p>
        </w:tc>
      </w:tr>
      <w:tr w:rsidR="005A65F9" w14:paraId="08F678A6" w14:textId="77777777" w:rsidTr="00F975A5">
        <w:tc>
          <w:tcPr>
            <w:tcW w:w="1385" w:type="pct"/>
            <w:shd w:val="clear" w:color="auto" w:fill="F2F2F2" w:themeFill="background1" w:themeFillShade="F2"/>
          </w:tcPr>
          <w:p w14:paraId="0AEC23F4" w14:textId="6D819A7B" w:rsidR="001269A5" w:rsidRDefault="001269A5" w:rsidP="00515FCA">
            <w:r>
              <w:t>Number of organisations</w:t>
            </w:r>
          </w:p>
        </w:tc>
        <w:tc>
          <w:tcPr>
            <w:tcW w:w="276" w:type="pct"/>
          </w:tcPr>
          <w:p w14:paraId="202BF546" w14:textId="2D3A5B87" w:rsidR="001269A5" w:rsidRDefault="00737083" w:rsidP="00515FCA">
            <w:r>
              <w:t>17</w:t>
            </w:r>
          </w:p>
        </w:tc>
        <w:tc>
          <w:tcPr>
            <w:tcW w:w="1344" w:type="pct"/>
            <w:shd w:val="clear" w:color="auto" w:fill="F2F2F2" w:themeFill="background1" w:themeFillShade="F2"/>
          </w:tcPr>
          <w:p w14:paraId="516D49A8" w14:textId="3F40732B" w:rsidR="001269A5" w:rsidRDefault="00737083" w:rsidP="009300B8">
            <w:pPr>
              <w:jc w:val="right"/>
            </w:pPr>
            <w:r>
              <w:t>Amount of funding (2 years)</w:t>
            </w:r>
          </w:p>
        </w:tc>
        <w:tc>
          <w:tcPr>
            <w:tcW w:w="490" w:type="pct"/>
          </w:tcPr>
          <w:p w14:paraId="68AF99F4" w14:textId="64071FE9" w:rsidR="001269A5" w:rsidRDefault="009300B8" w:rsidP="00515FCA">
            <w:r>
              <w:t>£5.2m</w:t>
            </w:r>
          </w:p>
        </w:tc>
        <w:tc>
          <w:tcPr>
            <w:tcW w:w="1116" w:type="pct"/>
            <w:shd w:val="clear" w:color="auto" w:fill="F2F2F2" w:themeFill="background1" w:themeFillShade="F2"/>
          </w:tcPr>
          <w:p w14:paraId="33B2235F" w14:textId="77181126" w:rsidR="001269A5" w:rsidRDefault="00737083" w:rsidP="009300B8">
            <w:pPr>
              <w:jc w:val="right"/>
            </w:pPr>
            <w:r>
              <w:t>% of funding (2 years)</w:t>
            </w:r>
          </w:p>
        </w:tc>
        <w:tc>
          <w:tcPr>
            <w:tcW w:w="389" w:type="pct"/>
          </w:tcPr>
          <w:p w14:paraId="2693A38F" w14:textId="6F01E891" w:rsidR="001269A5" w:rsidRDefault="005A65F9" w:rsidP="00515FCA">
            <w:r>
              <w:t>14%</w:t>
            </w:r>
          </w:p>
        </w:tc>
      </w:tr>
    </w:tbl>
    <w:p w14:paraId="47E3AF32" w14:textId="22E46AFC" w:rsidR="005B2FAC" w:rsidRPr="00757BED" w:rsidRDefault="005B240D" w:rsidP="00757BED">
      <w:pPr>
        <w:spacing w:before="120"/>
        <w:rPr>
          <w:sz w:val="20"/>
          <w:szCs w:val="18"/>
        </w:rPr>
      </w:pPr>
      <w:r w:rsidRPr="00757BED">
        <w:rPr>
          <w:sz w:val="20"/>
          <w:szCs w:val="18"/>
        </w:rPr>
        <w:t xml:space="preserve">NB: The are many other organisations in the portfolio whose primary focus is not prevention but </w:t>
      </w:r>
      <w:r w:rsidR="000C73F5" w:rsidRPr="00757BED">
        <w:rPr>
          <w:sz w:val="20"/>
          <w:szCs w:val="18"/>
        </w:rPr>
        <w:t xml:space="preserve">that are delivering prevention activities. These include many Women’s Aid organisations. </w:t>
      </w:r>
      <w:r w:rsidR="00757BED" w:rsidRPr="00757BED">
        <w:rPr>
          <w:sz w:val="20"/>
          <w:szCs w:val="18"/>
        </w:rPr>
        <w:t xml:space="preserve">This funding is not included in the figures above. </w:t>
      </w:r>
    </w:p>
    <w:p w14:paraId="03AE8625" w14:textId="77777777" w:rsidR="001F3475" w:rsidRDefault="001F3475" w:rsidP="00C6789A">
      <w:pPr>
        <w:pStyle w:val="Heading3"/>
      </w:pPr>
    </w:p>
    <w:p w14:paraId="03A1D196" w14:textId="2D78076B" w:rsidR="00191576" w:rsidRPr="00515FCA" w:rsidRDefault="00C6789A" w:rsidP="00C6789A">
      <w:pPr>
        <w:pStyle w:val="Heading3"/>
      </w:pPr>
      <w:bookmarkStart w:id="3" w:name="_Toc106120894"/>
      <w:r>
        <w:t xml:space="preserve">1b. </w:t>
      </w:r>
      <w:r w:rsidR="00C23E56">
        <w:t>DES c</w:t>
      </w:r>
      <w:r>
        <w:t>ontribution to Equally Safe strategy priorities</w:t>
      </w:r>
      <w:r w:rsidR="003F5F48">
        <w:t xml:space="preserve"> and outcomes</w:t>
      </w:r>
      <w:bookmarkEnd w:id="3"/>
      <w:r w:rsidR="003F5F48">
        <w:t xml:space="preserve"> </w:t>
      </w:r>
    </w:p>
    <w:p w14:paraId="3DF1AE3E" w14:textId="14E54850" w:rsidR="00AB1E8D" w:rsidRDefault="00601F41" w:rsidP="00D0338D">
      <w:r>
        <w:t>As part of the DES application</w:t>
      </w:r>
      <w:r w:rsidR="00AA6EAE">
        <w:t>, applicants</w:t>
      </w:r>
      <w:r w:rsidR="00512442">
        <w:t xml:space="preserve"> were asked to select which Equally Safe priorities and outcomes </w:t>
      </w:r>
      <w:r w:rsidR="008A310A">
        <w:t xml:space="preserve">their proposed work contributes to. This was reviewed </w:t>
      </w:r>
      <w:r>
        <w:t xml:space="preserve">during </w:t>
      </w:r>
      <w:r w:rsidR="00E516BE">
        <w:t>assessment</w:t>
      </w:r>
      <w:r w:rsidR="00AA6EAE">
        <w:t xml:space="preserve">. </w:t>
      </w:r>
    </w:p>
    <w:p w14:paraId="28C22008" w14:textId="0270727E" w:rsidR="000750E6" w:rsidRDefault="00AA6EAE" w:rsidP="00D0338D">
      <w:r>
        <w:t xml:space="preserve">The </w:t>
      </w:r>
      <w:r w:rsidR="00AB1E8D">
        <w:t xml:space="preserve">table </w:t>
      </w:r>
      <w:r w:rsidR="001F3475">
        <w:t xml:space="preserve">on the following page </w:t>
      </w:r>
      <w:r>
        <w:t>map</w:t>
      </w:r>
      <w:r w:rsidR="00DD535E">
        <w:t>s</w:t>
      </w:r>
      <w:r>
        <w:t xml:space="preserve"> distribution of awarded work </w:t>
      </w:r>
      <w:r w:rsidR="00E146A1">
        <w:t>across priorities and outcomes</w:t>
      </w:r>
      <w:r w:rsidR="00D440AD">
        <w:t xml:space="preserve"> at the time </w:t>
      </w:r>
      <w:r w:rsidR="0078638E">
        <w:t>funding decisions were made</w:t>
      </w:r>
      <w:r w:rsidR="00D440AD">
        <w:t>. There will have been some movement as work was reprofiled (due to part funding offers)</w:t>
      </w:r>
      <w:r w:rsidR="0059746E">
        <w:t>,</w:t>
      </w:r>
      <w:r w:rsidR="00D440AD">
        <w:t xml:space="preserve"> and </w:t>
      </w:r>
      <w:r w:rsidR="0087059D">
        <w:t xml:space="preserve">as work has evolved. </w:t>
      </w:r>
    </w:p>
    <w:p w14:paraId="538D30FF" w14:textId="3AF10731" w:rsidR="008C5E7E" w:rsidRDefault="00CC1F3F" w:rsidP="00D0338D">
      <w:r>
        <w:t>As part of progress reporting</w:t>
      </w:r>
      <w:r w:rsidR="00C612A3">
        <w:t>,</w:t>
      </w:r>
      <w:r>
        <w:t xml:space="preserve"> </w:t>
      </w:r>
      <w:r w:rsidR="00A32268">
        <w:t xml:space="preserve">organisations are asked how </w:t>
      </w:r>
      <w:r w:rsidR="00771A34">
        <w:t xml:space="preserve">funded </w:t>
      </w:r>
      <w:r w:rsidR="00A32268">
        <w:t>activity has contributed to Equally Safe priorities and outcomes</w:t>
      </w:r>
      <w:r w:rsidR="00771A34">
        <w:t>. F</w:t>
      </w:r>
      <w:r w:rsidR="00A32268">
        <w:t>urther information</w:t>
      </w:r>
      <w:r w:rsidR="002C53FF">
        <w:t xml:space="preserve">, and an update to the table will be published </w:t>
      </w:r>
      <w:r w:rsidR="00D75608">
        <w:t xml:space="preserve">alongside the Progress reviews, </w:t>
      </w:r>
      <w:r w:rsidR="002C53FF">
        <w:t xml:space="preserve">as we learn more about funded activity. </w:t>
      </w:r>
      <w:r w:rsidR="00057AA7">
        <w:t xml:space="preserve"> </w:t>
      </w:r>
      <w:r w:rsidR="00A32268">
        <w:t xml:space="preserve"> </w:t>
      </w:r>
    </w:p>
    <w:p w14:paraId="20F8F93F" w14:textId="0A7EB264" w:rsidR="001F3475" w:rsidRDefault="001F3475">
      <w:r>
        <w:br w:type="page"/>
      </w:r>
    </w:p>
    <w:tbl>
      <w:tblPr>
        <w:tblStyle w:val="TableGrid"/>
        <w:tblW w:w="0" w:type="auto"/>
        <w:tblLook w:val="04A0" w:firstRow="1" w:lastRow="0" w:firstColumn="1" w:lastColumn="0" w:noHBand="0" w:noVBand="1"/>
      </w:tblPr>
      <w:tblGrid>
        <w:gridCol w:w="3539"/>
        <w:gridCol w:w="969"/>
        <w:gridCol w:w="1724"/>
        <w:gridCol w:w="2784"/>
      </w:tblGrid>
      <w:tr w:rsidR="003A04FE" w14:paraId="65E9087F" w14:textId="77777777" w:rsidTr="00DD535E">
        <w:tc>
          <w:tcPr>
            <w:tcW w:w="9016" w:type="dxa"/>
            <w:gridSpan w:val="4"/>
            <w:tcBorders>
              <w:bottom w:val="nil"/>
            </w:tcBorders>
            <w:shd w:val="clear" w:color="auto" w:fill="323E48"/>
            <w:vAlign w:val="center"/>
          </w:tcPr>
          <w:p w14:paraId="41D6BBA2" w14:textId="28B8FFB7" w:rsidR="003A04FE" w:rsidRPr="00705670" w:rsidRDefault="003A04FE" w:rsidP="00E377C8">
            <w:pPr>
              <w:spacing w:before="120" w:after="160"/>
              <w:rPr>
                <w:b/>
                <w:bCs/>
              </w:rPr>
            </w:pPr>
            <w:r w:rsidRPr="00705670">
              <w:rPr>
                <w:b/>
                <w:bCs/>
              </w:rPr>
              <w:lastRenderedPageBreak/>
              <w:t>Equally Safe Priorities</w:t>
            </w:r>
            <w:r w:rsidR="00A419B8">
              <w:rPr>
                <w:b/>
                <w:bCs/>
              </w:rPr>
              <w:t xml:space="preserve"> [</w:t>
            </w:r>
            <w:r w:rsidR="00803C0B">
              <w:rPr>
                <w:b/>
                <w:bCs/>
              </w:rPr>
              <w:t>number</w:t>
            </w:r>
            <w:r w:rsidR="00265638">
              <w:rPr>
                <w:b/>
                <w:bCs/>
              </w:rPr>
              <w:t xml:space="preserve">, </w:t>
            </w:r>
            <w:r w:rsidR="00803C0B">
              <w:rPr>
                <w:b/>
                <w:bCs/>
              </w:rPr>
              <w:t>%</w:t>
            </w:r>
            <w:r w:rsidR="00A419B8">
              <w:rPr>
                <w:b/>
                <w:bCs/>
              </w:rPr>
              <w:t xml:space="preserve"> of funded </w:t>
            </w:r>
            <w:r w:rsidR="005868D9">
              <w:rPr>
                <w:b/>
                <w:bCs/>
              </w:rPr>
              <w:t>proposals</w:t>
            </w:r>
            <w:r w:rsidR="00A419B8">
              <w:rPr>
                <w:b/>
                <w:bCs/>
              </w:rPr>
              <w:t xml:space="preserve"> contributing to</w:t>
            </w:r>
            <w:r w:rsidR="00E71E63">
              <w:rPr>
                <w:b/>
                <w:bCs/>
              </w:rPr>
              <w:t>:</w:t>
            </w:r>
            <w:r w:rsidR="00A419B8">
              <w:rPr>
                <w:b/>
                <w:bCs/>
              </w:rPr>
              <w:t>]</w:t>
            </w:r>
          </w:p>
        </w:tc>
      </w:tr>
      <w:tr w:rsidR="0097191A" w14:paraId="3A0ED658" w14:textId="77777777" w:rsidTr="00706ADA">
        <w:tc>
          <w:tcPr>
            <w:tcW w:w="3539" w:type="dxa"/>
            <w:tcBorders>
              <w:top w:val="nil"/>
              <w:left w:val="nil"/>
              <w:bottom w:val="nil"/>
              <w:right w:val="nil"/>
            </w:tcBorders>
            <w:shd w:val="clear" w:color="auto" w:fill="774A98"/>
          </w:tcPr>
          <w:p w14:paraId="6FB96F89" w14:textId="5122A1F9" w:rsidR="0097191A" w:rsidRPr="00F524C9" w:rsidRDefault="003D5463" w:rsidP="00B10D2B">
            <w:pPr>
              <w:ind w:left="22" w:hanging="22"/>
              <w:rPr>
                <w:b/>
                <w:bCs/>
                <w:color w:val="FFFFFF" w:themeColor="background1"/>
              </w:rPr>
            </w:pPr>
            <w:r w:rsidRPr="00704C89">
              <w:rPr>
                <w:b/>
                <w:bCs/>
                <w:noProof/>
                <w:color w:val="FFFFFF" w:themeColor="background1"/>
                <w:lang w:eastAsia="en-GB"/>
              </w:rPr>
              <w:drawing>
                <wp:anchor distT="0" distB="0" distL="114300" distR="114300" simplePos="0" relativeHeight="251662336" behindDoc="1" locked="0" layoutInCell="1" allowOverlap="1" wp14:anchorId="7E0071D9" wp14:editId="06F02205">
                  <wp:simplePos x="0" y="0"/>
                  <wp:positionH relativeFrom="column">
                    <wp:posOffset>-5080</wp:posOffset>
                  </wp:positionH>
                  <wp:positionV relativeFrom="paragraph">
                    <wp:posOffset>40640</wp:posOffset>
                  </wp:positionV>
                  <wp:extent cx="514350" cy="4876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C89">
              <w:rPr>
                <w:b/>
                <w:bCs/>
                <w:color w:val="FFFFFF" w:themeColor="background1"/>
              </w:rPr>
              <w:t>Women and girls thrive as equal citizens</w:t>
            </w:r>
            <w:r w:rsidR="0050356E" w:rsidRPr="00704C89">
              <w:rPr>
                <w:b/>
                <w:bCs/>
                <w:color w:val="FFFFFF" w:themeColor="background1"/>
              </w:rPr>
              <w:t>:</w:t>
            </w:r>
            <w:r w:rsidRPr="00704C89">
              <w:rPr>
                <w:b/>
                <w:bCs/>
                <w:color w:val="FFFFFF" w:themeColor="background1"/>
              </w:rPr>
              <w:t xml:space="preserve"> socially, culturally, economically and politically</w:t>
            </w:r>
            <w:r w:rsidRPr="00F524C9">
              <w:rPr>
                <w:b/>
                <w:bCs/>
                <w:color w:val="FFFFFF" w:themeColor="background1"/>
              </w:rPr>
              <w:t xml:space="preserve"> </w:t>
            </w:r>
            <w:r w:rsidR="00FC71F1" w:rsidRPr="00F524C9">
              <w:rPr>
                <w:b/>
                <w:bCs/>
                <w:color w:val="FFFFFF" w:themeColor="background1"/>
              </w:rPr>
              <w:t>[</w:t>
            </w:r>
            <w:r w:rsidR="00265638">
              <w:rPr>
                <w:b/>
                <w:bCs/>
                <w:color w:val="FFFFFF" w:themeColor="background1"/>
              </w:rPr>
              <w:t xml:space="preserve">89, </w:t>
            </w:r>
            <w:r w:rsidR="00FC71F1" w:rsidRPr="00F524C9">
              <w:rPr>
                <w:b/>
                <w:bCs/>
                <w:color w:val="FFFFFF" w:themeColor="background1"/>
              </w:rPr>
              <w:t>27%]</w:t>
            </w:r>
          </w:p>
          <w:p w14:paraId="584F45EF" w14:textId="0062E982" w:rsidR="00B10D2B" w:rsidRPr="00F524C9" w:rsidRDefault="00B10D2B" w:rsidP="00B10D2B">
            <w:pPr>
              <w:ind w:left="22" w:hanging="22"/>
              <w:rPr>
                <w:b/>
                <w:bCs/>
                <w:color w:val="FFFFFF" w:themeColor="background1"/>
              </w:rPr>
            </w:pPr>
            <w:r w:rsidRPr="00F524C9">
              <w:rPr>
                <w:b/>
                <w:bCs/>
                <w:noProof/>
                <w:color w:val="FFFFFF" w:themeColor="background1"/>
                <w:lang w:eastAsia="en-GB"/>
              </w:rPr>
              <w:drawing>
                <wp:anchor distT="0" distB="0" distL="114300" distR="114300" simplePos="0" relativeHeight="251668480" behindDoc="0" locked="0" layoutInCell="1" allowOverlap="1" wp14:anchorId="0CB9D4DF" wp14:editId="7AA33113">
                  <wp:simplePos x="0" y="0"/>
                  <wp:positionH relativeFrom="column">
                    <wp:posOffset>13970</wp:posOffset>
                  </wp:positionH>
                  <wp:positionV relativeFrom="paragraph">
                    <wp:posOffset>135255</wp:posOffset>
                  </wp:positionV>
                  <wp:extent cx="497840" cy="5365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84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1AF1E" w14:textId="186A9502" w:rsidR="00B10D2B" w:rsidRDefault="00B10D2B" w:rsidP="00FC71F1">
            <w:pPr>
              <w:spacing w:after="120"/>
              <w:ind w:left="23" w:hanging="23"/>
            </w:pPr>
            <w:r w:rsidRPr="00F524C9">
              <w:rPr>
                <w:b/>
                <w:bCs/>
                <w:color w:val="FFFFFF" w:themeColor="background1"/>
              </w:rPr>
              <w:t>Scottish society embraces equality and mutual respect, and rejects all forms of violence against women and girls</w:t>
            </w:r>
            <w:r w:rsidR="00FC71F1" w:rsidRPr="00F524C9">
              <w:rPr>
                <w:b/>
                <w:bCs/>
                <w:color w:val="FFFFFF" w:themeColor="background1"/>
              </w:rPr>
              <w:t xml:space="preserve"> [</w:t>
            </w:r>
            <w:r w:rsidR="000055E7">
              <w:rPr>
                <w:b/>
                <w:bCs/>
                <w:color w:val="FFFFFF" w:themeColor="background1"/>
              </w:rPr>
              <w:t xml:space="preserve">102, </w:t>
            </w:r>
            <w:r w:rsidR="00FC71F1" w:rsidRPr="00F524C9">
              <w:rPr>
                <w:b/>
                <w:bCs/>
                <w:color w:val="FFFFFF" w:themeColor="background1"/>
              </w:rPr>
              <w:t>31%]</w:t>
            </w:r>
          </w:p>
        </w:tc>
        <w:tc>
          <w:tcPr>
            <w:tcW w:w="2693" w:type="dxa"/>
            <w:gridSpan w:val="2"/>
            <w:tcBorders>
              <w:top w:val="nil"/>
              <w:left w:val="nil"/>
              <w:bottom w:val="nil"/>
              <w:right w:val="nil"/>
            </w:tcBorders>
            <w:shd w:val="clear" w:color="auto" w:fill="E9446D"/>
          </w:tcPr>
          <w:p w14:paraId="0E87CB86" w14:textId="63BE540F" w:rsidR="0097191A" w:rsidRPr="00F524C9" w:rsidRDefault="0050356E" w:rsidP="00D0338D">
            <w:pPr>
              <w:rPr>
                <w:b/>
                <w:bCs/>
              </w:rPr>
            </w:pPr>
            <w:r w:rsidRPr="00F524C9">
              <w:rPr>
                <w:b/>
                <w:bCs/>
                <w:noProof/>
                <w:color w:val="FFFFFF" w:themeColor="background1"/>
                <w:lang w:eastAsia="en-GB"/>
              </w:rPr>
              <w:drawing>
                <wp:anchor distT="0" distB="0" distL="114300" distR="114300" simplePos="0" relativeHeight="251664384" behindDoc="0" locked="0" layoutInCell="1" allowOverlap="1" wp14:anchorId="798884BB" wp14:editId="2FCBEAEC">
                  <wp:simplePos x="0" y="0"/>
                  <wp:positionH relativeFrom="column">
                    <wp:posOffset>3810</wp:posOffset>
                  </wp:positionH>
                  <wp:positionV relativeFrom="paragraph">
                    <wp:posOffset>164465</wp:posOffset>
                  </wp:positionV>
                  <wp:extent cx="485775" cy="505460"/>
                  <wp:effectExtent l="0" t="0" r="952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4C9">
              <w:rPr>
                <w:b/>
                <w:bCs/>
                <w:color w:val="FFFFFF" w:themeColor="background1"/>
              </w:rPr>
              <w:t>Men desist from all forms of violence against women and girls, and perpetrators of such violence receive a robust and effective response</w:t>
            </w:r>
            <w:r w:rsidRPr="00F524C9">
              <w:rPr>
                <w:b/>
                <w:bCs/>
                <w:noProof/>
                <w:color w:val="FFFFFF" w:themeColor="background1"/>
              </w:rPr>
              <w:t xml:space="preserve"> </w:t>
            </w:r>
            <w:r w:rsidR="00FC71F1" w:rsidRPr="00F524C9">
              <w:rPr>
                <w:b/>
                <w:bCs/>
                <w:noProof/>
                <w:color w:val="FFFFFF" w:themeColor="background1"/>
              </w:rPr>
              <w:t>[</w:t>
            </w:r>
            <w:r w:rsidR="000055E7">
              <w:rPr>
                <w:b/>
                <w:bCs/>
                <w:noProof/>
                <w:color w:val="FFFFFF" w:themeColor="background1"/>
              </w:rPr>
              <w:t>29,</w:t>
            </w:r>
            <w:r w:rsidR="00FC71F1" w:rsidRPr="00F524C9">
              <w:rPr>
                <w:b/>
                <w:bCs/>
                <w:noProof/>
                <w:color w:val="FFFFFF" w:themeColor="background1"/>
              </w:rPr>
              <w:t>9%]</w:t>
            </w:r>
          </w:p>
        </w:tc>
        <w:tc>
          <w:tcPr>
            <w:tcW w:w="2784" w:type="dxa"/>
            <w:tcBorders>
              <w:top w:val="nil"/>
              <w:left w:val="nil"/>
              <w:bottom w:val="nil"/>
              <w:right w:val="nil"/>
            </w:tcBorders>
            <w:shd w:val="clear" w:color="auto" w:fill="3693AA"/>
          </w:tcPr>
          <w:p w14:paraId="37F7D764" w14:textId="0F185685" w:rsidR="0097191A" w:rsidRPr="00F524C9" w:rsidRDefault="0050356E" w:rsidP="00D0338D">
            <w:pPr>
              <w:rPr>
                <w:b/>
                <w:bCs/>
              </w:rPr>
            </w:pPr>
            <w:r w:rsidRPr="00F524C9">
              <w:rPr>
                <w:b/>
                <w:bCs/>
                <w:color w:val="FFFFFF" w:themeColor="background1"/>
              </w:rPr>
              <w:t xml:space="preserve">Interventions are early and effective, preventing violence and maximising the safety and wellbeing of women, children and young people </w:t>
            </w:r>
            <w:r w:rsidRPr="00F524C9">
              <w:rPr>
                <w:b/>
                <w:bCs/>
                <w:noProof/>
                <w:color w:val="FFFFFF" w:themeColor="background1"/>
                <w:lang w:eastAsia="en-GB"/>
              </w:rPr>
              <w:drawing>
                <wp:anchor distT="0" distB="0" distL="114300" distR="114300" simplePos="0" relativeHeight="251666432" behindDoc="0" locked="0" layoutInCell="1" allowOverlap="1" wp14:anchorId="61295299" wp14:editId="6DED7942">
                  <wp:simplePos x="0" y="0"/>
                  <wp:positionH relativeFrom="column">
                    <wp:posOffset>17145</wp:posOffset>
                  </wp:positionH>
                  <wp:positionV relativeFrom="paragraph">
                    <wp:posOffset>49530</wp:posOffset>
                  </wp:positionV>
                  <wp:extent cx="457200" cy="463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AFC" w:rsidRPr="00F524C9">
              <w:rPr>
                <w:b/>
                <w:bCs/>
                <w:color w:val="FFFFFF" w:themeColor="background1"/>
              </w:rPr>
              <w:t>[</w:t>
            </w:r>
            <w:r w:rsidR="000055E7">
              <w:rPr>
                <w:b/>
                <w:bCs/>
                <w:color w:val="FFFFFF" w:themeColor="background1"/>
              </w:rPr>
              <w:t xml:space="preserve">112, </w:t>
            </w:r>
            <w:r w:rsidR="00967AFC" w:rsidRPr="00F524C9">
              <w:rPr>
                <w:b/>
                <w:bCs/>
                <w:color w:val="FFFFFF" w:themeColor="background1"/>
              </w:rPr>
              <w:t>3</w:t>
            </w:r>
            <w:r w:rsidR="000055E7">
              <w:rPr>
                <w:b/>
                <w:bCs/>
                <w:color w:val="FFFFFF" w:themeColor="background1"/>
              </w:rPr>
              <w:t>4</w:t>
            </w:r>
            <w:r w:rsidR="00967AFC" w:rsidRPr="00F524C9">
              <w:rPr>
                <w:b/>
                <w:bCs/>
                <w:color w:val="FFFFFF" w:themeColor="background1"/>
              </w:rPr>
              <w:t>%]</w:t>
            </w:r>
          </w:p>
        </w:tc>
      </w:tr>
      <w:tr w:rsidR="003A04FE" w14:paraId="033991C8" w14:textId="77777777" w:rsidTr="00DD535E">
        <w:tc>
          <w:tcPr>
            <w:tcW w:w="9016" w:type="dxa"/>
            <w:gridSpan w:val="4"/>
            <w:tcBorders>
              <w:top w:val="nil"/>
              <w:left w:val="nil"/>
              <w:bottom w:val="nil"/>
              <w:right w:val="nil"/>
            </w:tcBorders>
          </w:tcPr>
          <w:p w14:paraId="6641BE97" w14:textId="77777777" w:rsidR="003A04FE" w:rsidRDefault="003A04FE" w:rsidP="00D0338D"/>
        </w:tc>
      </w:tr>
      <w:tr w:rsidR="003A04FE" w14:paraId="078251B5" w14:textId="77777777" w:rsidTr="00DD535E">
        <w:tc>
          <w:tcPr>
            <w:tcW w:w="9016" w:type="dxa"/>
            <w:gridSpan w:val="4"/>
            <w:tcBorders>
              <w:top w:val="nil"/>
            </w:tcBorders>
            <w:shd w:val="clear" w:color="auto" w:fill="323E48"/>
          </w:tcPr>
          <w:p w14:paraId="529A60D9" w14:textId="66DE5ADD" w:rsidR="003A04FE" w:rsidRPr="006F7A3A" w:rsidRDefault="006F7A3A" w:rsidP="006F7A3A">
            <w:pPr>
              <w:spacing w:before="120" w:after="120"/>
              <w:rPr>
                <w:b/>
                <w:bCs/>
              </w:rPr>
            </w:pPr>
            <w:r w:rsidRPr="006F7A3A">
              <w:rPr>
                <w:b/>
                <w:bCs/>
              </w:rPr>
              <w:t xml:space="preserve">Outcomes </w:t>
            </w:r>
            <w:r w:rsidR="00967AFC">
              <w:rPr>
                <w:b/>
                <w:bCs/>
              </w:rPr>
              <w:t xml:space="preserve">[number of </w:t>
            </w:r>
            <w:r w:rsidR="00A7477C">
              <w:rPr>
                <w:b/>
                <w:bCs/>
              </w:rPr>
              <w:t>grants/ projects contributing to</w:t>
            </w:r>
            <w:r w:rsidR="00E71E63">
              <w:rPr>
                <w:b/>
                <w:bCs/>
              </w:rPr>
              <w:t>:</w:t>
            </w:r>
            <w:r w:rsidR="00A7477C">
              <w:rPr>
                <w:b/>
                <w:bCs/>
              </w:rPr>
              <w:t>]</w:t>
            </w:r>
          </w:p>
        </w:tc>
      </w:tr>
      <w:tr w:rsidR="009470D9" w14:paraId="6F004672" w14:textId="77777777" w:rsidTr="00706ADA">
        <w:tc>
          <w:tcPr>
            <w:tcW w:w="3539" w:type="dxa"/>
            <w:tcBorders>
              <w:top w:val="nil"/>
              <w:left w:val="nil"/>
              <w:bottom w:val="nil"/>
              <w:right w:val="nil"/>
            </w:tcBorders>
            <w:shd w:val="clear" w:color="auto" w:fill="DAD1E9"/>
          </w:tcPr>
          <w:p w14:paraId="5F906DFC" w14:textId="50A74D85" w:rsidR="00A419B8" w:rsidRPr="00082744" w:rsidRDefault="000D67B7" w:rsidP="00A419B8">
            <w:pPr>
              <w:pStyle w:val="ListParagraph"/>
              <w:numPr>
                <w:ilvl w:val="0"/>
                <w:numId w:val="3"/>
              </w:numPr>
              <w:spacing w:after="120"/>
              <w:ind w:left="306" w:hanging="284"/>
              <w:rPr>
                <w:sz w:val="22"/>
                <w:szCs w:val="20"/>
              </w:rPr>
            </w:pPr>
            <w:r w:rsidRPr="00082744">
              <w:rPr>
                <w:sz w:val="22"/>
                <w:szCs w:val="20"/>
              </w:rPr>
              <w:t>Fewer people adhere to gender stereotypes</w:t>
            </w:r>
            <w:r w:rsidR="00704C89">
              <w:rPr>
                <w:sz w:val="22"/>
                <w:szCs w:val="20"/>
              </w:rPr>
              <w:t xml:space="preserve"> </w:t>
            </w:r>
            <w:r w:rsidR="00704C89" w:rsidRPr="00704C89">
              <w:rPr>
                <w:b/>
                <w:bCs/>
                <w:sz w:val="22"/>
                <w:szCs w:val="20"/>
              </w:rPr>
              <w:t>[61]</w:t>
            </w:r>
          </w:p>
          <w:p w14:paraId="5C1E51ED" w14:textId="64A66C2A" w:rsidR="009470D9" w:rsidRPr="00082744" w:rsidRDefault="000D67B7" w:rsidP="00A419B8">
            <w:pPr>
              <w:pStyle w:val="ListParagraph"/>
              <w:spacing w:after="120"/>
              <w:ind w:left="306" w:hanging="284"/>
              <w:rPr>
                <w:sz w:val="22"/>
                <w:szCs w:val="20"/>
              </w:rPr>
            </w:pPr>
            <w:r w:rsidRPr="00082744">
              <w:rPr>
                <w:sz w:val="22"/>
                <w:szCs w:val="20"/>
              </w:rPr>
              <w:t xml:space="preserve"> </w:t>
            </w:r>
          </w:p>
          <w:p w14:paraId="4B65792B" w14:textId="6F1D0200" w:rsidR="00A419B8" w:rsidRPr="00082744" w:rsidRDefault="00A419B8" w:rsidP="00A419B8">
            <w:pPr>
              <w:pStyle w:val="ListParagraph"/>
              <w:numPr>
                <w:ilvl w:val="0"/>
                <w:numId w:val="3"/>
              </w:numPr>
              <w:spacing w:before="120"/>
              <w:ind w:left="306" w:hanging="284"/>
              <w:rPr>
                <w:sz w:val="22"/>
                <w:szCs w:val="20"/>
              </w:rPr>
            </w:pPr>
            <w:r w:rsidRPr="00082744">
              <w:rPr>
                <w:sz w:val="22"/>
                <w:szCs w:val="20"/>
              </w:rPr>
              <w:t xml:space="preserve">People have increased understanding of all forms of VAWG (causes, consequences and appropriate responses </w:t>
            </w:r>
            <w:r w:rsidR="00FD3931" w:rsidRPr="00FD3931">
              <w:rPr>
                <w:b/>
                <w:bCs/>
                <w:sz w:val="22"/>
                <w:szCs w:val="20"/>
              </w:rPr>
              <w:t>[104]</w:t>
            </w:r>
          </w:p>
          <w:p w14:paraId="13C9570F" w14:textId="2093AB46" w:rsidR="000D67B7" w:rsidRPr="00082744" w:rsidRDefault="000D67B7" w:rsidP="00D0338D">
            <w:pPr>
              <w:rPr>
                <w:sz w:val="22"/>
                <w:szCs w:val="20"/>
              </w:rPr>
            </w:pPr>
          </w:p>
        </w:tc>
        <w:tc>
          <w:tcPr>
            <w:tcW w:w="2693" w:type="dxa"/>
            <w:gridSpan w:val="2"/>
            <w:tcBorders>
              <w:top w:val="nil"/>
              <w:left w:val="nil"/>
              <w:bottom w:val="nil"/>
              <w:right w:val="nil"/>
            </w:tcBorders>
            <w:shd w:val="clear" w:color="auto" w:fill="FAD9DC"/>
          </w:tcPr>
          <w:p w14:paraId="2E1D914C" w14:textId="31A7F439" w:rsidR="009470D9" w:rsidRPr="00082744" w:rsidRDefault="00967AFC" w:rsidP="00D0338D">
            <w:pPr>
              <w:rPr>
                <w:sz w:val="22"/>
                <w:szCs w:val="20"/>
              </w:rPr>
            </w:pPr>
            <w:r w:rsidRPr="00082744">
              <w:rPr>
                <w:sz w:val="22"/>
                <w:szCs w:val="20"/>
              </w:rPr>
              <w:t xml:space="preserve">Perpetrators are identified (early) </w:t>
            </w:r>
            <w:r w:rsidR="00FB23AD" w:rsidRPr="00FB23AD">
              <w:rPr>
                <w:b/>
                <w:bCs/>
                <w:sz w:val="22"/>
                <w:szCs w:val="20"/>
              </w:rPr>
              <w:t>[21]</w:t>
            </w:r>
          </w:p>
        </w:tc>
        <w:tc>
          <w:tcPr>
            <w:tcW w:w="2784" w:type="dxa"/>
            <w:tcBorders>
              <w:top w:val="nil"/>
              <w:left w:val="nil"/>
              <w:bottom w:val="nil"/>
              <w:right w:val="nil"/>
            </w:tcBorders>
            <w:shd w:val="clear" w:color="auto" w:fill="D3E5F0"/>
          </w:tcPr>
          <w:p w14:paraId="2D855450" w14:textId="7D0C12B7" w:rsidR="009470D9" w:rsidRPr="00082744" w:rsidRDefault="004938F8" w:rsidP="00D0338D">
            <w:pPr>
              <w:rPr>
                <w:sz w:val="22"/>
                <w:szCs w:val="20"/>
              </w:rPr>
            </w:pPr>
            <w:r w:rsidRPr="00082744">
              <w:rPr>
                <w:sz w:val="22"/>
                <w:szCs w:val="20"/>
              </w:rPr>
              <w:t>Women and children affected by violence are identified (early)</w:t>
            </w:r>
            <w:r w:rsidR="0068571F">
              <w:rPr>
                <w:sz w:val="22"/>
                <w:szCs w:val="20"/>
              </w:rPr>
              <w:t xml:space="preserve"> </w:t>
            </w:r>
            <w:r w:rsidR="0068571F" w:rsidRPr="0068571F">
              <w:rPr>
                <w:b/>
                <w:bCs/>
                <w:sz w:val="22"/>
                <w:szCs w:val="20"/>
              </w:rPr>
              <w:t>[95]</w:t>
            </w:r>
          </w:p>
        </w:tc>
      </w:tr>
      <w:tr w:rsidR="003A04FE" w14:paraId="7C7A8B2A" w14:textId="77777777" w:rsidTr="00561F43">
        <w:tc>
          <w:tcPr>
            <w:tcW w:w="9016" w:type="dxa"/>
            <w:gridSpan w:val="4"/>
            <w:tcBorders>
              <w:top w:val="nil"/>
              <w:left w:val="nil"/>
              <w:bottom w:val="nil"/>
              <w:right w:val="nil"/>
            </w:tcBorders>
          </w:tcPr>
          <w:p w14:paraId="239EC102" w14:textId="1F2881EC" w:rsidR="003A04FE" w:rsidRDefault="00415CDA" w:rsidP="00D0338D">
            <w:pPr>
              <w:rPr>
                <w:sz w:val="22"/>
                <w:szCs w:val="20"/>
              </w:rPr>
            </w:pPr>
            <w:r>
              <w:rPr>
                <w:noProof/>
                <w:sz w:val="22"/>
                <w:szCs w:val="20"/>
                <w:lang w:eastAsia="en-GB"/>
              </w:rPr>
              <mc:AlternateContent>
                <mc:Choice Requires="wps">
                  <w:drawing>
                    <wp:anchor distT="0" distB="0" distL="114300" distR="114300" simplePos="0" relativeHeight="251673600" behindDoc="0" locked="0" layoutInCell="1" allowOverlap="1" wp14:anchorId="12BE29BD" wp14:editId="2B02637E">
                      <wp:simplePos x="0" y="0"/>
                      <wp:positionH relativeFrom="column">
                        <wp:posOffset>4622800</wp:posOffset>
                      </wp:positionH>
                      <wp:positionV relativeFrom="paragraph">
                        <wp:posOffset>-17780</wp:posOffset>
                      </wp:positionV>
                      <wp:extent cx="9525" cy="333375"/>
                      <wp:effectExtent l="95250" t="19050" r="66675" b="47625"/>
                      <wp:wrapNone/>
                      <wp:docPr id="18" name="Straight Arrow Connector 18"/>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38100">
                                <a:solidFill>
                                  <a:srgbClr val="CDCDD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3B233B" id="_x0000_t32" coordsize="21600,21600" o:spt="32" o:oned="t" path="m,l21600,21600e" filled="f">
                      <v:path arrowok="t" fillok="f" o:connecttype="none"/>
                      <o:lock v:ext="edit" shapetype="t"/>
                    </v:shapetype>
                    <v:shape id="Straight Arrow Connector 18" o:spid="_x0000_s1026" type="#_x0000_t32" style="position:absolute;margin-left:364pt;margin-top:-1.4pt;width:.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" strokecolor="#cdcdd0" strokeweight="3pt">
                      <v:stroke endarrow="block" joinstyle="miter"/>
                    </v:shape>
                  </w:pict>
                </mc:Fallback>
              </mc:AlternateContent>
            </w:r>
            <w:r w:rsidR="0034100B">
              <w:rPr>
                <w:noProof/>
                <w:sz w:val="22"/>
                <w:szCs w:val="20"/>
                <w:lang w:eastAsia="en-GB"/>
              </w:rPr>
              <mc:AlternateContent>
                <mc:Choice Requires="wps">
                  <w:drawing>
                    <wp:anchor distT="0" distB="0" distL="114300" distR="114300" simplePos="0" relativeHeight="251669504" behindDoc="0" locked="0" layoutInCell="1" allowOverlap="1" wp14:anchorId="6C461D9F" wp14:editId="583B3566">
                      <wp:simplePos x="0" y="0"/>
                      <wp:positionH relativeFrom="column">
                        <wp:posOffset>2661920</wp:posOffset>
                      </wp:positionH>
                      <wp:positionV relativeFrom="paragraph">
                        <wp:posOffset>-11430</wp:posOffset>
                      </wp:positionV>
                      <wp:extent cx="9525" cy="333375"/>
                      <wp:effectExtent l="95250" t="1905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38100">
                                <a:solidFill>
                                  <a:srgbClr val="CDCDD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F3C8C" id="Straight Arrow Connector 16" o:spid="_x0000_s1026" type="#_x0000_t32" style="position:absolute;margin-left:209.6pt;margin-top:-.9pt;width:.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" strokecolor="#cdcdd0" strokeweight="3pt">
                      <v:stroke endarrow="block" joinstyle="miter"/>
                    </v:shape>
                  </w:pict>
                </mc:Fallback>
              </mc:AlternateContent>
            </w:r>
            <w:r w:rsidR="00ED3442">
              <w:rPr>
                <w:noProof/>
                <w:sz w:val="22"/>
                <w:szCs w:val="20"/>
                <w:lang w:eastAsia="en-GB"/>
              </w:rPr>
              <mc:AlternateContent>
                <mc:Choice Requires="wps">
                  <w:drawing>
                    <wp:anchor distT="0" distB="0" distL="114300" distR="114300" simplePos="0" relativeHeight="251671552" behindDoc="0" locked="0" layoutInCell="1" allowOverlap="1" wp14:anchorId="31A2F1A1" wp14:editId="1BFD270D">
                      <wp:simplePos x="0" y="0"/>
                      <wp:positionH relativeFrom="column">
                        <wp:posOffset>784225</wp:posOffset>
                      </wp:positionH>
                      <wp:positionV relativeFrom="paragraph">
                        <wp:posOffset>-16510</wp:posOffset>
                      </wp:positionV>
                      <wp:extent cx="9525" cy="333375"/>
                      <wp:effectExtent l="95250" t="1905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38100">
                                <a:solidFill>
                                  <a:srgbClr val="CDCDD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AB8BC" id="Straight Arrow Connector 17" o:spid="_x0000_s1026" type="#_x0000_t32" style="position:absolute;margin-left:61.75pt;margin-top:-1.3pt;width:.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" strokecolor="#cdcdd0" strokeweight="3pt">
                      <v:stroke endarrow="block" joinstyle="miter"/>
                    </v:shape>
                  </w:pict>
                </mc:Fallback>
              </mc:AlternateContent>
            </w:r>
          </w:p>
          <w:p w14:paraId="789B64E5" w14:textId="1B99AFAA" w:rsidR="000D42ED" w:rsidRPr="00082744" w:rsidRDefault="000D42ED" w:rsidP="00D0338D">
            <w:pPr>
              <w:rPr>
                <w:sz w:val="22"/>
                <w:szCs w:val="20"/>
              </w:rPr>
            </w:pPr>
          </w:p>
        </w:tc>
      </w:tr>
      <w:tr w:rsidR="009470D9" w14:paraId="39551464" w14:textId="77777777" w:rsidTr="00706ADA">
        <w:tc>
          <w:tcPr>
            <w:tcW w:w="3539" w:type="dxa"/>
            <w:tcBorders>
              <w:top w:val="nil"/>
              <w:left w:val="nil"/>
              <w:bottom w:val="nil"/>
              <w:right w:val="nil"/>
            </w:tcBorders>
            <w:shd w:val="clear" w:color="auto" w:fill="DAD1E9"/>
          </w:tcPr>
          <w:p w14:paraId="2C02CC15" w14:textId="54C7787B" w:rsidR="00082744" w:rsidRPr="00082744" w:rsidRDefault="004938F8" w:rsidP="00082744">
            <w:pPr>
              <w:pStyle w:val="ListParagraph"/>
              <w:numPr>
                <w:ilvl w:val="0"/>
                <w:numId w:val="4"/>
              </w:numPr>
              <w:ind w:left="447" w:hanging="283"/>
              <w:rPr>
                <w:sz w:val="22"/>
                <w:szCs w:val="20"/>
              </w:rPr>
            </w:pPr>
            <w:r w:rsidRPr="00082744">
              <w:rPr>
                <w:sz w:val="22"/>
                <w:szCs w:val="20"/>
              </w:rPr>
              <w:t>Power</w:t>
            </w:r>
            <w:r w:rsidR="000D4AA1" w:rsidRPr="00082744">
              <w:rPr>
                <w:sz w:val="22"/>
                <w:szCs w:val="20"/>
              </w:rPr>
              <w:t>, decision -making and material resources are distributed more equally between men and women</w:t>
            </w:r>
            <w:r w:rsidR="009948F7">
              <w:rPr>
                <w:sz w:val="22"/>
                <w:szCs w:val="20"/>
              </w:rPr>
              <w:t xml:space="preserve"> </w:t>
            </w:r>
            <w:r w:rsidR="009948F7" w:rsidRPr="009948F7">
              <w:rPr>
                <w:b/>
                <w:bCs/>
                <w:sz w:val="22"/>
                <w:szCs w:val="20"/>
              </w:rPr>
              <w:t>[46]</w:t>
            </w:r>
          </w:p>
          <w:p w14:paraId="1982D098" w14:textId="5BECF1BD" w:rsidR="009470D9" w:rsidRPr="00082744" w:rsidRDefault="000D4AA1" w:rsidP="00082744">
            <w:pPr>
              <w:pStyle w:val="ListParagraph"/>
              <w:ind w:left="447"/>
              <w:rPr>
                <w:sz w:val="22"/>
                <w:szCs w:val="20"/>
              </w:rPr>
            </w:pPr>
            <w:r w:rsidRPr="00082744">
              <w:rPr>
                <w:sz w:val="22"/>
                <w:szCs w:val="20"/>
              </w:rPr>
              <w:t xml:space="preserve"> </w:t>
            </w:r>
          </w:p>
          <w:p w14:paraId="311A6374" w14:textId="43B2A9CA" w:rsidR="000D4AA1" w:rsidRPr="00082744" w:rsidRDefault="000D4AA1" w:rsidP="00F77BE3">
            <w:pPr>
              <w:pStyle w:val="ListParagraph"/>
              <w:numPr>
                <w:ilvl w:val="0"/>
                <w:numId w:val="4"/>
              </w:numPr>
              <w:spacing w:after="240"/>
              <w:ind w:left="448" w:hanging="284"/>
              <w:rPr>
                <w:sz w:val="22"/>
                <w:szCs w:val="20"/>
              </w:rPr>
            </w:pPr>
            <w:r w:rsidRPr="00082744">
              <w:rPr>
                <w:sz w:val="22"/>
                <w:szCs w:val="20"/>
              </w:rPr>
              <w:t>Tolerance of VAWG is reduced</w:t>
            </w:r>
            <w:r w:rsidR="00082744" w:rsidRPr="00082744">
              <w:rPr>
                <w:sz w:val="22"/>
                <w:szCs w:val="20"/>
              </w:rPr>
              <w:t xml:space="preserve"> and people are more likely to recognise and challenge it</w:t>
            </w:r>
            <w:r w:rsidR="00F77BE3">
              <w:rPr>
                <w:sz w:val="22"/>
                <w:szCs w:val="20"/>
              </w:rPr>
              <w:t xml:space="preserve"> </w:t>
            </w:r>
            <w:r w:rsidR="00F77BE3" w:rsidRPr="00F77BE3">
              <w:rPr>
                <w:b/>
                <w:bCs/>
                <w:sz w:val="22"/>
                <w:szCs w:val="20"/>
              </w:rPr>
              <w:t>[93]</w:t>
            </w:r>
          </w:p>
        </w:tc>
        <w:tc>
          <w:tcPr>
            <w:tcW w:w="2693" w:type="dxa"/>
            <w:gridSpan w:val="2"/>
            <w:tcBorders>
              <w:top w:val="nil"/>
              <w:left w:val="nil"/>
              <w:bottom w:val="nil"/>
              <w:right w:val="nil"/>
            </w:tcBorders>
            <w:shd w:val="clear" w:color="auto" w:fill="FAD9DC"/>
          </w:tcPr>
          <w:p w14:paraId="2F88624C" w14:textId="16F28719" w:rsidR="009470D9" w:rsidRDefault="00082744" w:rsidP="00CF564A">
            <w:pPr>
              <w:pStyle w:val="ListParagraph"/>
              <w:numPr>
                <w:ilvl w:val="0"/>
                <w:numId w:val="4"/>
              </w:numPr>
              <w:ind w:left="283" w:hanging="283"/>
              <w:rPr>
                <w:sz w:val="22"/>
                <w:szCs w:val="20"/>
              </w:rPr>
            </w:pPr>
            <w:r w:rsidRPr="00CF564A">
              <w:rPr>
                <w:sz w:val="22"/>
                <w:szCs w:val="20"/>
              </w:rPr>
              <w:t>Perpe</w:t>
            </w:r>
            <w:r w:rsidR="00CF564A" w:rsidRPr="00CF564A">
              <w:rPr>
                <w:sz w:val="22"/>
                <w:szCs w:val="20"/>
              </w:rPr>
              <w:t xml:space="preserve">trators are supported to change their behaviour </w:t>
            </w:r>
            <w:r w:rsidR="00502AB5" w:rsidRPr="00502AB5">
              <w:rPr>
                <w:b/>
                <w:bCs/>
                <w:sz w:val="22"/>
                <w:szCs w:val="20"/>
              </w:rPr>
              <w:t>[14]</w:t>
            </w:r>
          </w:p>
          <w:p w14:paraId="702004F8" w14:textId="77777777" w:rsidR="00CF564A" w:rsidRPr="00CF564A" w:rsidRDefault="00CF564A" w:rsidP="00CF564A">
            <w:pPr>
              <w:pStyle w:val="ListParagraph"/>
              <w:ind w:left="283"/>
              <w:rPr>
                <w:sz w:val="22"/>
                <w:szCs w:val="20"/>
              </w:rPr>
            </w:pPr>
          </w:p>
          <w:p w14:paraId="5C662AA9" w14:textId="5BE2D6E9" w:rsidR="00CF564A" w:rsidRDefault="00CF564A" w:rsidP="00CF564A">
            <w:pPr>
              <w:pStyle w:val="ListParagraph"/>
              <w:numPr>
                <w:ilvl w:val="0"/>
                <w:numId w:val="4"/>
              </w:numPr>
              <w:ind w:left="283" w:hanging="283"/>
            </w:pPr>
            <w:r w:rsidRPr="00CF564A">
              <w:rPr>
                <w:sz w:val="22"/>
                <w:szCs w:val="20"/>
              </w:rPr>
              <w:t>Perpetrators are sanctioned/ held to account</w:t>
            </w:r>
            <w:r w:rsidR="006F53C5">
              <w:rPr>
                <w:sz w:val="22"/>
                <w:szCs w:val="20"/>
              </w:rPr>
              <w:t xml:space="preserve"> </w:t>
            </w:r>
            <w:r w:rsidR="006F53C5" w:rsidRPr="006F53C5">
              <w:rPr>
                <w:b/>
                <w:bCs/>
                <w:sz w:val="22"/>
                <w:szCs w:val="20"/>
              </w:rPr>
              <w:t>[14]</w:t>
            </w:r>
          </w:p>
        </w:tc>
        <w:tc>
          <w:tcPr>
            <w:tcW w:w="2784" w:type="dxa"/>
            <w:tcBorders>
              <w:top w:val="nil"/>
              <w:left w:val="nil"/>
              <w:bottom w:val="nil"/>
              <w:right w:val="nil"/>
            </w:tcBorders>
            <w:shd w:val="clear" w:color="auto" w:fill="D3E5F0"/>
          </w:tcPr>
          <w:p w14:paraId="60DAA4AE" w14:textId="4E7DA488" w:rsidR="009470D9" w:rsidRDefault="00CF564A" w:rsidP="000D42ED">
            <w:pPr>
              <w:pStyle w:val="ListParagraph"/>
              <w:numPr>
                <w:ilvl w:val="0"/>
                <w:numId w:val="4"/>
              </w:numPr>
              <w:ind w:left="260" w:hanging="260"/>
              <w:rPr>
                <w:sz w:val="22"/>
                <w:szCs w:val="20"/>
              </w:rPr>
            </w:pPr>
            <w:r w:rsidRPr="000D42ED">
              <w:rPr>
                <w:sz w:val="22"/>
                <w:szCs w:val="20"/>
              </w:rPr>
              <w:t xml:space="preserve">Women and children’s safety needs are met </w:t>
            </w:r>
            <w:r w:rsidR="00D36ABD" w:rsidRPr="00D36ABD">
              <w:rPr>
                <w:b/>
                <w:bCs/>
                <w:sz w:val="22"/>
                <w:szCs w:val="20"/>
              </w:rPr>
              <w:t>[10</w:t>
            </w:r>
            <w:r w:rsidR="0068571F">
              <w:rPr>
                <w:b/>
                <w:bCs/>
                <w:sz w:val="22"/>
                <w:szCs w:val="20"/>
              </w:rPr>
              <w:t>2</w:t>
            </w:r>
            <w:r w:rsidR="00D36ABD" w:rsidRPr="00D36ABD">
              <w:rPr>
                <w:b/>
                <w:bCs/>
                <w:sz w:val="22"/>
                <w:szCs w:val="20"/>
              </w:rPr>
              <w:t>]</w:t>
            </w:r>
          </w:p>
          <w:p w14:paraId="4D87D3E8" w14:textId="77777777" w:rsidR="000D42ED" w:rsidRPr="000D42ED" w:rsidRDefault="000D42ED" w:rsidP="000D42ED">
            <w:pPr>
              <w:pStyle w:val="ListParagraph"/>
              <w:ind w:left="260"/>
              <w:rPr>
                <w:sz w:val="22"/>
                <w:szCs w:val="20"/>
              </w:rPr>
            </w:pPr>
          </w:p>
          <w:p w14:paraId="0439D2B5" w14:textId="36911F31" w:rsidR="00CF564A" w:rsidRDefault="00CF564A" w:rsidP="000D42ED">
            <w:pPr>
              <w:pStyle w:val="ListParagraph"/>
              <w:numPr>
                <w:ilvl w:val="0"/>
                <w:numId w:val="4"/>
              </w:numPr>
              <w:ind w:left="260" w:hanging="260"/>
            </w:pPr>
            <w:r w:rsidRPr="000D42ED">
              <w:rPr>
                <w:sz w:val="22"/>
                <w:szCs w:val="20"/>
              </w:rPr>
              <w:t>Women and children’s wider wellbeing needs are met</w:t>
            </w:r>
            <w:r w:rsidR="00DE0B9C">
              <w:rPr>
                <w:sz w:val="22"/>
                <w:szCs w:val="20"/>
              </w:rPr>
              <w:t xml:space="preserve"> </w:t>
            </w:r>
            <w:r w:rsidR="00DE0B9C" w:rsidRPr="00DE0B9C">
              <w:rPr>
                <w:b/>
                <w:bCs/>
                <w:sz w:val="22"/>
                <w:szCs w:val="20"/>
              </w:rPr>
              <w:t>[100]</w:t>
            </w:r>
          </w:p>
        </w:tc>
      </w:tr>
      <w:tr w:rsidR="003A04FE" w14:paraId="51CD4019" w14:textId="77777777" w:rsidTr="00F8392A">
        <w:tc>
          <w:tcPr>
            <w:tcW w:w="9016" w:type="dxa"/>
            <w:gridSpan w:val="4"/>
            <w:tcBorders>
              <w:top w:val="nil"/>
              <w:left w:val="nil"/>
              <w:bottom w:val="nil"/>
              <w:right w:val="nil"/>
            </w:tcBorders>
          </w:tcPr>
          <w:p w14:paraId="77F1CD73" w14:textId="19B49754" w:rsidR="003A04FE" w:rsidRDefault="00706ADA" w:rsidP="00D0338D">
            <w:r>
              <w:rPr>
                <w:noProof/>
                <w:sz w:val="22"/>
                <w:szCs w:val="20"/>
                <w:lang w:eastAsia="en-GB"/>
              </w:rPr>
              <mc:AlternateContent>
                <mc:Choice Requires="wps">
                  <w:drawing>
                    <wp:anchor distT="0" distB="0" distL="114300" distR="114300" simplePos="0" relativeHeight="251677696" behindDoc="0" locked="0" layoutInCell="1" allowOverlap="1" wp14:anchorId="0C3F92FD" wp14:editId="244242AD">
                      <wp:simplePos x="0" y="0"/>
                      <wp:positionH relativeFrom="column">
                        <wp:posOffset>2806700</wp:posOffset>
                      </wp:positionH>
                      <wp:positionV relativeFrom="paragraph">
                        <wp:posOffset>56515</wp:posOffset>
                      </wp:positionV>
                      <wp:extent cx="9525" cy="333375"/>
                      <wp:effectExtent l="95250" t="1905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333375"/>
                              </a:xfrm>
                              <a:prstGeom prst="straightConnector1">
                                <a:avLst/>
                              </a:prstGeom>
                              <a:noFill/>
                              <a:ln w="38100" cap="flat" cmpd="sng" algn="ctr">
                                <a:solidFill>
                                  <a:srgbClr val="CDCDD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A255B" id="Straight Arrow Connector 20" o:spid="_x0000_s1026" type="#_x0000_t32" style="position:absolute;margin-left:221pt;margin-top:4.45pt;width:.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" strokecolor="#cdcdd0" strokeweight="3pt">
                      <v:stroke endarrow="block" joinstyle="miter"/>
                    </v:shape>
                  </w:pict>
                </mc:Fallback>
              </mc:AlternateContent>
            </w:r>
            <w:r>
              <w:rPr>
                <w:noProof/>
                <w:sz w:val="22"/>
                <w:szCs w:val="20"/>
                <w:lang w:eastAsia="en-GB"/>
              </w:rPr>
              <mc:AlternateContent>
                <mc:Choice Requires="wps">
                  <w:drawing>
                    <wp:anchor distT="0" distB="0" distL="114300" distR="114300" simplePos="0" relativeHeight="251679744" behindDoc="0" locked="0" layoutInCell="1" allowOverlap="1" wp14:anchorId="4A0CED5B" wp14:editId="68A97B2B">
                      <wp:simplePos x="0" y="0"/>
                      <wp:positionH relativeFrom="column">
                        <wp:posOffset>835025</wp:posOffset>
                      </wp:positionH>
                      <wp:positionV relativeFrom="paragraph">
                        <wp:posOffset>71755</wp:posOffset>
                      </wp:positionV>
                      <wp:extent cx="9525" cy="333375"/>
                      <wp:effectExtent l="95250" t="19050" r="66675" b="47625"/>
                      <wp:wrapNone/>
                      <wp:docPr id="21" name="Straight Arrow Connector 21"/>
                      <wp:cNvGraphicFramePr/>
                      <a:graphic xmlns:a="http://schemas.openxmlformats.org/drawingml/2006/main">
                        <a:graphicData uri="http://schemas.microsoft.com/office/word/2010/wordprocessingShape">
                          <wps:wsp>
                            <wps:cNvCnPr/>
                            <wps:spPr>
                              <a:xfrm>
                                <a:off x="0" y="0"/>
                                <a:ext cx="9525" cy="333375"/>
                              </a:xfrm>
                              <a:prstGeom prst="straightConnector1">
                                <a:avLst/>
                              </a:prstGeom>
                              <a:noFill/>
                              <a:ln w="38100" cap="flat" cmpd="sng" algn="ctr">
                                <a:solidFill>
                                  <a:srgbClr val="CDCDD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6A1C6" id="Straight Arrow Connector 21" o:spid="_x0000_s1026" type="#_x0000_t32" style="position:absolute;margin-left:65.75pt;margin-top:5.65pt;width:.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" strokecolor="#cdcdd0" strokeweight="3pt">
                      <v:stroke endarrow="block" joinstyle="miter"/>
                    </v:shape>
                  </w:pict>
                </mc:Fallback>
              </mc:AlternateContent>
            </w:r>
            <w:r w:rsidR="00E71E63">
              <w:rPr>
                <w:noProof/>
                <w:sz w:val="22"/>
                <w:szCs w:val="20"/>
                <w:lang w:eastAsia="en-GB"/>
              </w:rPr>
              <mc:AlternateContent>
                <mc:Choice Requires="wps">
                  <w:drawing>
                    <wp:anchor distT="0" distB="0" distL="114300" distR="114300" simplePos="0" relativeHeight="251675648" behindDoc="0" locked="0" layoutInCell="1" allowOverlap="1" wp14:anchorId="5593FA7C" wp14:editId="60478694">
                      <wp:simplePos x="0" y="0"/>
                      <wp:positionH relativeFrom="column">
                        <wp:posOffset>4884420</wp:posOffset>
                      </wp:positionH>
                      <wp:positionV relativeFrom="paragraph">
                        <wp:posOffset>48260</wp:posOffset>
                      </wp:positionV>
                      <wp:extent cx="9525" cy="333375"/>
                      <wp:effectExtent l="95250" t="19050" r="66675" b="47625"/>
                      <wp:wrapSquare wrapText="bothSides"/>
                      <wp:docPr id="19" name="Straight Arrow Connector 19"/>
                      <wp:cNvGraphicFramePr/>
                      <a:graphic xmlns:a="http://schemas.openxmlformats.org/drawingml/2006/main">
                        <a:graphicData uri="http://schemas.microsoft.com/office/word/2010/wordprocessingShape">
                          <wps:wsp>
                            <wps:cNvCnPr/>
                            <wps:spPr>
                              <a:xfrm>
                                <a:off x="0" y="0"/>
                                <a:ext cx="9525" cy="333375"/>
                              </a:xfrm>
                              <a:prstGeom prst="straightConnector1">
                                <a:avLst/>
                              </a:prstGeom>
                              <a:noFill/>
                              <a:ln w="38100" cap="flat" cmpd="sng" algn="ctr">
                                <a:solidFill>
                                  <a:srgbClr val="CDCDD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1CB90" id="Straight Arrow Connector 19" o:spid="_x0000_s1026" type="#_x0000_t32" style="position:absolute;margin-left:384.6pt;margin-top:3.8pt;width:.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" strokecolor="#cdcdd0" strokeweight="3pt">
                      <v:stroke endarrow="block" joinstyle="miter"/>
                      <w10:wrap type="square"/>
                    </v:shape>
                  </w:pict>
                </mc:Fallback>
              </mc:AlternateContent>
            </w:r>
          </w:p>
          <w:p w14:paraId="0FFC015F" w14:textId="59911545" w:rsidR="00E71E63" w:rsidRDefault="00E71E63" w:rsidP="00D0338D"/>
        </w:tc>
      </w:tr>
      <w:tr w:rsidR="000D67B7" w14:paraId="72AF58A1" w14:textId="77777777" w:rsidTr="00F8392A">
        <w:tc>
          <w:tcPr>
            <w:tcW w:w="4508" w:type="dxa"/>
            <w:gridSpan w:val="2"/>
            <w:tcBorders>
              <w:top w:val="nil"/>
              <w:left w:val="nil"/>
              <w:bottom w:val="nil"/>
              <w:right w:val="nil"/>
            </w:tcBorders>
            <w:shd w:val="clear" w:color="auto" w:fill="323E48"/>
            <w:vAlign w:val="center"/>
          </w:tcPr>
          <w:p w14:paraId="3C976312" w14:textId="6A400C21" w:rsidR="000D67B7" w:rsidRDefault="0034100B" w:rsidP="00F8392A">
            <w:pPr>
              <w:jc w:val="center"/>
            </w:pPr>
            <w:r>
              <w:t>Violence against women and girls is reduced/eradicated</w:t>
            </w:r>
            <w:r w:rsidR="009904BE">
              <w:t xml:space="preserve"> </w:t>
            </w:r>
            <w:r w:rsidR="009904BE" w:rsidRPr="009904BE">
              <w:rPr>
                <w:b/>
                <w:bCs/>
              </w:rPr>
              <w:t>[80]</w:t>
            </w:r>
          </w:p>
        </w:tc>
        <w:tc>
          <w:tcPr>
            <w:tcW w:w="4508" w:type="dxa"/>
            <w:gridSpan w:val="2"/>
            <w:tcBorders>
              <w:top w:val="nil"/>
              <w:left w:val="nil"/>
              <w:bottom w:val="nil"/>
              <w:right w:val="nil"/>
            </w:tcBorders>
            <w:shd w:val="clear" w:color="auto" w:fill="323E48"/>
            <w:vAlign w:val="center"/>
          </w:tcPr>
          <w:p w14:paraId="336988BC" w14:textId="2268BFD8" w:rsidR="000D67B7" w:rsidRDefault="0034100B" w:rsidP="00F8392A">
            <w:pPr>
              <w:spacing w:before="120" w:after="120"/>
              <w:jc w:val="center"/>
            </w:pPr>
            <w:r>
              <w:t>Negative impacts on women and children</w:t>
            </w:r>
            <w:r w:rsidR="00F8392A">
              <w:t xml:space="preserve"> who have been affected by violence are reduced/ eradicated</w:t>
            </w:r>
            <w:r w:rsidR="00E86D35">
              <w:t xml:space="preserve"> </w:t>
            </w:r>
            <w:r w:rsidR="00E86D35" w:rsidRPr="00E86D35">
              <w:rPr>
                <w:b/>
                <w:bCs/>
              </w:rPr>
              <w:t>[80]</w:t>
            </w:r>
          </w:p>
        </w:tc>
      </w:tr>
    </w:tbl>
    <w:p w14:paraId="3C30460F" w14:textId="4CDDF112" w:rsidR="00D410FF" w:rsidRDefault="00D410FF" w:rsidP="00D0338D"/>
    <w:p w14:paraId="46C54BDB" w14:textId="4BDCEBB9" w:rsidR="004A1582" w:rsidRDefault="00BF10D2" w:rsidP="00D553C7">
      <w:pPr>
        <w:pStyle w:val="Heading2"/>
        <w:numPr>
          <w:ilvl w:val="0"/>
          <w:numId w:val="5"/>
        </w:numPr>
      </w:pPr>
      <w:bookmarkStart w:id="4" w:name="_Toc106120895"/>
      <w:r>
        <w:lastRenderedPageBreak/>
        <w:t xml:space="preserve">DES funding </w:t>
      </w:r>
      <w:r w:rsidR="0012558E">
        <w:t>application process</w:t>
      </w:r>
      <w:bookmarkEnd w:id="4"/>
      <w:r w:rsidR="0012558E">
        <w:t xml:space="preserve"> </w:t>
      </w:r>
    </w:p>
    <w:p w14:paraId="43FCAE3B" w14:textId="599736B7" w:rsidR="00D97168" w:rsidRDefault="007C4F71" w:rsidP="00D97168">
      <w:pPr>
        <w:spacing w:before="120"/>
      </w:pPr>
      <w:r>
        <w:t>Inspiring Scotland commenced fund management</w:t>
      </w:r>
      <w:r w:rsidR="00A02701">
        <w:t xml:space="preserve"> delivery</w:t>
      </w:r>
      <w:r>
        <w:t xml:space="preserve"> in November 2020 and t</w:t>
      </w:r>
      <w:r w:rsidR="00BF4120">
        <w:t xml:space="preserve">he Delivering Equally Safe Fund opened for applications </w:t>
      </w:r>
      <w:r w:rsidR="00E17AB2">
        <w:t xml:space="preserve">7 December 2020. </w:t>
      </w:r>
    </w:p>
    <w:p w14:paraId="1D6AE067" w14:textId="080DA535" w:rsidR="00D17A08" w:rsidRDefault="00D00E5B" w:rsidP="00D97168">
      <w:pPr>
        <w:spacing w:before="120"/>
      </w:pPr>
      <w:r>
        <w:t>The fund had been due to open in March 2020, however this was delayed due to the Covid-19 pandemic, and the previous ESVAWG/RCS funding</w:t>
      </w:r>
      <w:r w:rsidR="00741C35">
        <w:t xml:space="preserve"> was</w:t>
      </w:r>
      <w:r>
        <w:t xml:space="preserve"> extended </w:t>
      </w:r>
      <w:r w:rsidR="007C4F71">
        <w:t>in response.</w:t>
      </w:r>
    </w:p>
    <w:p w14:paraId="205F3D6F" w14:textId="32B20F27" w:rsidR="007C4F71" w:rsidRDefault="001E51E9" w:rsidP="001E51E9">
      <w:pPr>
        <w:pStyle w:val="Heading3"/>
      </w:pPr>
      <w:bookmarkStart w:id="5" w:name="_Toc106120896"/>
      <w:r>
        <w:t>2a. Application timelines and pre-application support</w:t>
      </w:r>
      <w:bookmarkEnd w:id="5"/>
      <w:r>
        <w:t xml:space="preserve"> </w:t>
      </w:r>
    </w:p>
    <w:p w14:paraId="654B2CF1" w14:textId="73FC229B" w:rsidR="003B5E2E" w:rsidRDefault="0059746E" w:rsidP="001E51E9">
      <w:r w:rsidRPr="00FD2C9A">
        <w:rPr>
          <w:i/>
          <w:iCs/>
          <w:noProof/>
          <w:sz w:val="22"/>
          <w:lang w:eastAsia="en-GB"/>
        </w:rPr>
        <w:drawing>
          <wp:anchor distT="0" distB="0" distL="114300" distR="114300" simplePos="0" relativeHeight="251681792" behindDoc="1" locked="0" layoutInCell="1" allowOverlap="1" wp14:anchorId="1FF3A841" wp14:editId="2AC8938A">
            <wp:simplePos x="0" y="0"/>
            <wp:positionH relativeFrom="margin">
              <wp:align>right</wp:align>
            </wp:positionH>
            <wp:positionV relativeFrom="paragraph">
              <wp:posOffset>182245</wp:posOffset>
            </wp:positionV>
            <wp:extent cx="5734050" cy="2866390"/>
            <wp:effectExtent l="0" t="0" r="0" b="0"/>
            <wp:wrapSquare wrapText="bothSides"/>
            <wp:docPr id="10" name="Picture 9" descr="Diagram&#10;&#10;Description automatically generated">
              <a:extLst xmlns:a="http://schemas.openxmlformats.org/drawingml/2006/main">
                <a:ext uri="{FF2B5EF4-FFF2-40B4-BE49-F238E27FC236}">
                  <a16:creationId xmlns:a16="http://schemas.microsoft.com/office/drawing/2014/main" id="{A6513270-AEEF-47F8-A1EF-514C7874F8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A6513270-AEEF-47F8-A1EF-514C7874F8EF}"/>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4050" cy="2866390"/>
                    </a:xfrm>
                    <a:prstGeom prst="rect">
                      <a:avLst/>
                    </a:prstGeom>
                  </pic:spPr>
                </pic:pic>
              </a:graphicData>
            </a:graphic>
            <wp14:sizeRelH relativeFrom="margin">
              <wp14:pctWidth>0</wp14:pctWidth>
            </wp14:sizeRelH>
            <wp14:sizeRelV relativeFrom="margin">
              <wp14:pctHeight>0</wp14:pctHeight>
            </wp14:sizeRelV>
          </wp:anchor>
        </w:drawing>
      </w:r>
    </w:p>
    <w:p w14:paraId="5CB6B56D" w14:textId="3FC4C82D" w:rsidR="00637819" w:rsidRDefault="008F0C69" w:rsidP="001E51E9">
      <w:r>
        <w:t xml:space="preserve">The </w:t>
      </w:r>
      <w:r w:rsidR="004C649E">
        <w:t xml:space="preserve">original </w:t>
      </w:r>
      <w:r>
        <w:t xml:space="preserve">deadline for applications was </w:t>
      </w:r>
      <w:r w:rsidR="004C649E">
        <w:t xml:space="preserve">31 March </w:t>
      </w:r>
      <w:r w:rsidR="00187973">
        <w:t>2021</w:t>
      </w:r>
      <w:r w:rsidR="00505942">
        <w:t>. T</w:t>
      </w:r>
      <w:r w:rsidR="00187973">
        <w:t xml:space="preserve">his was extended </w:t>
      </w:r>
      <w:r w:rsidR="00097FDA">
        <w:t>first to 30 April</w:t>
      </w:r>
      <w:r w:rsidR="0014774D">
        <w:t>,</w:t>
      </w:r>
      <w:r w:rsidR="00097FDA">
        <w:t xml:space="preserve"> and then </w:t>
      </w:r>
      <w:r w:rsidR="00741C35">
        <w:t xml:space="preserve">to </w:t>
      </w:r>
      <w:r w:rsidR="008B06E5">
        <w:t>28 May 2021</w:t>
      </w:r>
      <w:r w:rsidR="00741C35">
        <w:t>,</w:t>
      </w:r>
      <w:r w:rsidR="008B06E5">
        <w:t xml:space="preserve"> due to Covid restrictions</w:t>
      </w:r>
      <w:r w:rsidR="0014774D">
        <w:t>,</w:t>
      </w:r>
      <w:r w:rsidR="008B06E5">
        <w:t xml:space="preserve"> and the decision to shorten the fund to two years.</w:t>
      </w:r>
      <w:r w:rsidR="00E566A1">
        <w:t xml:space="preserve"> </w:t>
      </w:r>
    </w:p>
    <w:p w14:paraId="133A6273" w14:textId="7A9A49A7" w:rsidR="003130AD" w:rsidRDefault="00883A94" w:rsidP="001E51E9">
      <w:r>
        <w:t>Throughout this time Inspiring Scotland provided pre-application support</w:t>
      </w:r>
      <w:r w:rsidR="00707517">
        <w:t xml:space="preserve">. This included </w:t>
      </w:r>
      <w:r w:rsidR="003130AD">
        <w:t xml:space="preserve">five </w:t>
      </w:r>
      <w:r w:rsidR="008C6FBB">
        <w:t xml:space="preserve">different </w:t>
      </w:r>
      <w:r w:rsidR="0024783A">
        <w:t xml:space="preserve">webinars </w:t>
      </w:r>
      <w:r w:rsidR="003130AD">
        <w:t xml:space="preserve">to support completion of the application form, 90 one-to-one </w:t>
      </w:r>
      <w:r w:rsidR="0024783A">
        <w:t>surgery sessions</w:t>
      </w:r>
      <w:r w:rsidR="00314298">
        <w:t>,</w:t>
      </w:r>
      <w:r w:rsidR="00C861AB">
        <w:t xml:space="preserve"> and an </w:t>
      </w:r>
      <w:r w:rsidR="007F4631">
        <w:t xml:space="preserve">email and telephone </w:t>
      </w:r>
      <w:r w:rsidR="00C861AB">
        <w:t xml:space="preserve">enquiry helpline. </w:t>
      </w:r>
    </w:p>
    <w:p w14:paraId="1F310686" w14:textId="5DFDAF66" w:rsidR="001E51E9" w:rsidRPr="001E51E9" w:rsidRDefault="003130AD" w:rsidP="001E51E9">
      <w:r>
        <w:t>We were also</w:t>
      </w:r>
      <w:r w:rsidR="0024783A">
        <w:t xml:space="preserve"> able to monitor interest in the fund through a </w:t>
      </w:r>
      <w:r w:rsidR="008F7806">
        <w:t>r</w:t>
      </w:r>
      <w:r w:rsidR="0024783A">
        <w:t xml:space="preserve">egistration of </w:t>
      </w:r>
      <w:r w:rsidR="008F7806">
        <w:t>i</w:t>
      </w:r>
      <w:r w:rsidR="0024783A">
        <w:t>nterest form</w:t>
      </w:r>
      <w:r w:rsidR="00461B9F">
        <w:t>.</w:t>
      </w:r>
      <w:r w:rsidR="007B7068">
        <w:t xml:space="preserve"> </w:t>
      </w:r>
      <w:r w:rsidR="00020030">
        <w:t>A total of 206</w:t>
      </w:r>
      <w:r w:rsidR="00F968AB">
        <w:t xml:space="preserve"> registrations of interest </w:t>
      </w:r>
      <w:r w:rsidR="00020030">
        <w:t>were</w:t>
      </w:r>
      <w:r w:rsidR="00F968AB">
        <w:t xml:space="preserve"> submitted </w:t>
      </w:r>
      <w:r w:rsidR="00795BEF">
        <w:t xml:space="preserve">indicating that the fund was likely to be heavily over subscribed. </w:t>
      </w:r>
      <w:r w:rsidR="00461B9F">
        <w:t xml:space="preserve"> </w:t>
      </w:r>
    </w:p>
    <w:p w14:paraId="0D92F9EC" w14:textId="32A3B81E" w:rsidR="00D17A08" w:rsidRDefault="00E4666F" w:rsidP="0047789F">
      <w:pPr>
        <w:pStyle w:val="Heading3"/>
      </w:pPr>
      <w:bookmarkStart w:id="6" w:name="_Toc106120897"/>
      <w:r>
        <w:t xml:space="preserve">2b. </w:t>
      </w:r>
      <w:r w:rsidR="00D17A08">
        <w:t xml:space="preserve">Number of applications </w:t>
      </w:r>
      <w:r w:rsidR="00870D3E">
        <w:t>and fund budget</w:t>
      </w:r>
      <w:bookmarkEnd w:id="6"/>
    </w:p>
    <w:p w14:paraId="46960DD0" w14:textId="684B5890" w:rsidR="00795BEF" w:rsidRDefault="00F34C9A" w:rsidP="0012558E">
      <w:r>
        <w:t xml:space="preserve">At the deadline, </w:t>
      </w:r>
      <w:r w:rsidR="00F9347B">
        <w:t>163 applications were received requesting funding of £61m over two years</w:t>
      </w:r>
      <w:r w:rsidR="00503FE5">
        <w:t xml:space="preserve"> against a total budget available of £36m</w:t>
      </w:r>
      <w:r w:rsidR="00F9347B">
        <w:t xml:space="preserve">. </w:t>
      </w:r>
      <w:r w:rsidR="00020030">
        <w:t xml:space="preserve">This included 180 single applications and 33 </w:t>
      </w:r>
      <w:r w:rsidR="009F0CBE">
        <w:t xml:space="preserve">partnership applications. The average amount requested was </w:t>
      </w:r>
      <w:r w:rsidR="00FA6148">
        <w:t xml:space="preserve">£469k over two years and nine applicants requested </w:t>
      </w:r>
      <w:r w:rsidR="00AC11D5">
        <w:t xml:space="preserve">over £1m. </w:t>
      </w:r>
    </w:p>
    <w:p w14:paraId="04A2FD78" w14:textId="7701E626" w:rsidR="00870D3E" w:rsidRDefault="00DA445C" w:rsidP="00870D3E">
      <w:r>
        <w:t>Th</w:t>
      </w:r>
      <w:r w:rsidR="00142DA1">
        <w:t xml:space="preserve">e budget </w:t>
      </w:r>
      <w:r w:rsidR="00823639">
        <w:t>had</w:t>
      </w:r>
      <w:r w:rsidR="00644C15">
        <w:t xml:space="preserve"> </w:t>
      </w:r>
      <w:r w:rsidR="00823639">
        <w:t>originally been set at</w:t>
      </w:r>
      <w:r w:rsidR="00644C15">
        <w:t xml:space="preserve"> </w:t>
      </w:r>
      <w:r w:rsidR="00870D3E">
        <w:t>£13m per year for three years [£39m]</w:t>
      </w:r>
      <w:r w:rsidR="00823639">
        <w:t>. T</w:t>
      </w:r>
      <w:r w:rsidR="00870D3E">
        <w:t>his was change</w:t>
      </w:r>
      <w:r w:rsidR="00341640">
        <w:t>d</w:t>
      </w:r>
      <w:r w:rsidR="00870D3E">
        <w:t xml:space="preserve"> to £18m per year </w:t>
      </w:r>
      <w:r w:rsidR="00142DA1">
        <w:t xml:space="preserve">with a minimum of £14m </w:t>
      </w:r>
      <w:r w:rsidR="008A4067">
        <w:t>secured for frontline specialist services</w:t>
      </w:r>
      <w:r w:rsidR="00FB049A">
        <w:t>, as a result of feedback from potentia</w:t>
      </w:r>
      <w:r w:rsidR="003C4949">
        <w:t>l applicants</w:t>
      </w:r>
      <w:r w:rsidR="00606A9D">
        <w:t xml:space="preserve">, the context of </w:t>
      </w:r>
      <w:r w:rsidR="00606A9D">
        <w:lastRenderedPageBreak/>
        <w:t>Covid-19</w:t>
      </w:r>
      <w:r w:rsidR="00283E6E">
        <w:t>,</w:t>
      </w:r>
      <w:r w:rsidR="00E8692E">
        <w:t xml:space="preserve"> and the decision to </w:t>
      </w:r>
      <w:r w:rsidR="00606A9D">
        <w:t>undertake</w:t>
      </w:r>
      <w:r w:rsidR="00E8692E">
        <w:t xml:space="preserve"> a strategic review of sustainable funding for frontline services. </w:t>
      </w:r>
    </w:p>
    <w:p w14:paraId="60410CB0" w14:textId="75EE6544" w:rsidR="00D17D91" w:rsidRDefault="00FC192E" w:rsidP="00870D3E">
      <w:r>
        <w:t xml:space="preserve">All organisations that had previously been funded through ESVAWG/ RCS submitted proposals </w:t>
      </w:r>
      <w:r w:rsidR="00F34D55">
        <w:t>and built in an</w:t>
      </w:r>
      <w:r>
        <w:t xml:space="preserve"> increase in </w:t>
      </w:r>
      <w:r w:rsidR="00CD641C">
        <w:t>funding. This was</w:t>
      </w:r>
      <w:r w:rsidR="00635136">
        <w:t>,</w:t>
      </w:r>
      <w:r w:rsidR="00CD641C">
        <w:t xml:space="preserve"> </w:t>
      </w:r>
      <w:r w:rsidR="00635136">
        <w:t xml:space="preserve">in part, </w:t>
      </w:r>
      <w:r w:rsidR="00CD641C">
        <w:t>a response to stand-still budgets over an extended period of time</w:t>
      </w:r>
      <w:r w:rsidR="00F34D55">
        <w:t>,</w:t>
      </w:r>
      <w:r w:rsidR="00CD641C">
        <w:t xml:space="preserve"> and a reflection of the</w:t>
      </w:r>
      <w:r w:rsidR="00C67645">
        <w:t xml:space="preserve"> pressures services were facing with waiting lists and under-resourced services. </w:t>
      </w:r>
    </w:p>
    <w:p w14:paraId="2B9EF4BC" w14:textId="3494030C" w:rsidR="00D17A08" w:rsidRDefault="00644C15" w:rsidP="0047789F">
      <w:pPr>
        <w:pStyle w:val="Heading3"/>
      </w:pPr>
      <w:bookmarkStart w:id="7" w:name="_Toc106120898"/>
      <w:r>
        <w:t xml:space="preserve">2c. </w:t>
      </w:r>
      <w:r w:rsidR="00D17A08">
        <w:t>Assessment and decision making process</w:t>
      </w:r>
      <w:bookmarkEnd w:id="7"/>
      <w:r w:rsidR="00D17A08">
        <w:t xml:space="preserve"> </w:t>
      </w:r>
    </w:p>
    <w:p w14:paraId="3B155992" w14:textId="1DA37C9A" w:rsidR="00DA444E" w:rsidRDefault="001111BA" w:rsidP="00FD1DE7">
      <w:pPr>
        <w:spacing w:before="120"/>
      </w:pPr>
      <w:r>
        <w:t xml:space="preserve">The extended </w:t>
      </w:r>
      <w:r w:rsidR="0082758E">
        <w:t xml:space="preserve">submission </w:t>
      </w:r>
      <w:r>
        <w:t xml:space="preserve">deadline put pressure on the </w:t>
      </w:r>
      <w:r w:rsidR="007B269F">
        <w:t xml:space="preserve">assessment </w:t>
      </w:r>
      <w:r>
        <w:t xml:space="preserve">process, which was undertaken in </w:t>
      </w:r>
      <w:r w:rsidR="00CD50FD">
        <w:t>a period of five weeks</w:t>
      </w:r>
      <w:r w:rsidR="007B269F">
        <w:t xml:space="preserve">. </w:t>
      </w:r>
    </w:p>
    <w:p w14:paraId="2120079C" w14:textId="55AFDD1C" w:rsidR="00162D06" w:rsidRDefault="00BD3396" w:rsidP="00FD1DE7">
      <w:pPr>
        <w:spacing w:before="120"/>
        <w:rPr>
          <w:szCs w:val="24"/>
        </w:rPr>
      </w:pPr>
      <w:r w:rsidRPr="001E52AC">
        <w:rPr>
          <w:i/>
          <w:iCs/>
          <w:noProof/>
          <w:sz w:val="20"/>
          <w:szCs w:val="20"/>
          <w:lang w:eastAsia="en-GB"/>
        </w:rPr>
        <w:drawing>
          <wp:anchor distT="0" distB="0" distL="114300" distR="114300" simplePos="0" relativeHeight="251683840" behindDoc="1" locked="0" layoutInCell="1" allowOverlap="1" wp14:anchorId="03720BFD" wp14:editId="654B5F14">
            <wp:simplePos x="0" y="0"/>
            <wp:positionH relativeFrom="margin">
              <wp:posOffset>2393016</wp:posOffset>
            </wp:positionH>
            <wp:positionV relativeFrom="paragraph">
              <wp:posOffset>14717</wp:posOffset>
            </wp:positionV>
            <wp:extent cx="3469640" cy="4248785"/>
            <wp:effectExtent l="0" t="0" r="0" b="0"/>
            <wp:wrapSquare wrapText="bothSides"/>
            <wp:docPr id="5" name="Picture 3" descr="Diagram&#10;&#10;Description automatically generated">
              <a:extLst xmlns:a="http://schemas.openxmlformats.org/drawingml/2006/main">
                <a:ext uri="{FF2B5EF4-FFF2-40B4-BE49-F238E27FC236}">
                  <a16:creationId xmlns:a16="http://schemas.microsoft.com/office/drawing/2014/main" id="{52795A9C-2E22-4C74-9E90-AE8910CD91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a:extLst>
                        <a:ext uri="{FF2B5EF4-FFF2-40B4-BE49-F238E27FC236}">
                          <a16:creationId xmlns:a16="http://schemas.microsoft.com/office/drawing/2014/main" id="{52795A9C-2E22-4C74-9E90-AE8910CD917D}"/>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469640" cy="4248785"/>
                    </a:xfrm>
                    <a:prstGeom prst="rect">
                      <a:avLst/>
                    </a:prstGeom>
                  </pic:spPr>
                </pic:pic>
              </a:graphicData>
            </a:graphic>
            <wp14:sizeRelH relativeFrom="margin">
              <wp14:pctWidth>0</wp14:pctWidth>
            </wp14:sizeRelH>
            <wp14:sizeRelV relativeFrom="margin">
              <wp14:pctHeight>0</wp14:pctHeight>
            </wp14:sizeRelV>
          </wp:anchor>
        </w:drawing>
      </w:r>
      <w:r w:rsidR="00EA2CC4">
        <w:rPr>
          <w:szCs w:val="24"/>
        </w:rPr>
        <w:t>A team of assessors reviewed all applications and scored them using the agreed assessment and scoring guide.</w:t>
      </w:r>
      <w:r w:rsidR="00DA444E">
        <w:rPr>
          <w:szCs w:val="24"/>
        </w:rPr>
        <w:t xml:space="preserve"> Just under 50% of the assessments were scored twice. Where necessary, moderation was carried out by a third assessor. </w:t>
      </w:r>
    </w:p>
    <w:p w14:paraId="2825ACEF" w14:textId="0E9E6D31" w:rsidR="00DA444E" w:rsidRDefault="00DA444E" w:rsidP="00FD1DE7">
      <w:pPr>
        <w:spacing w:before="120"/>
        <w:rPr>
          <w:szCs w:val="24"/>
        </w:rPr>
      </w:pPr>
      <w:r>
        <w:rPr>
          <w:szCs w:val="24"/>
        </w:rPr>
        <w:t>Assessment information was then presented to the VAWG policy team at Scottish Government</w:t>
      </w:r>
      <w:r w:rsidR="00782295">
        <w:rPr>
          <w:szCs w:val="24"/>
        </w:rPr>
        <w:t xml:space="preserve"> for review. </w:t>
      </w:r>
    </w:p>
    <w:p w14:paraId="16B97A2F" w14:textId="1A10AA5C" w:rsidR="00AE45BC" w:rsidRDefault="000C368D" w:rsidP="00FD1DE7">
      <w:pPr>
        <w:spacing w:before="120"/>
      </w:pPr>
      <w:r>
        <w:rPr>
          <w:szCs w:val="24"/>
        </w:rPr>
        <w:t xml:space="preserve">Following these discussions, portfolio funding options were presented to a </w:t>
      </w:r>
      <w:r w:rsidR="008440DB">
        <w:rPr>
          <w:szCs w:val="24"/>
        </w:rPr>
        <w:t>p</w:t>
      </w:r>
      <w:r>
        <w:rPr>
          <w:szCs w:val="24"/>
        </w:rPr>
        <w:t xml:space="preserve">anel </w:t>
      </w:r>
      <w:r w:rsidR="000117A7">
        <w:rPr>
          <w:szCs w:val="24"/>
        </w:rPr>
        <w:t>of Scottish Government officials alongside finding</w:t>
      </w:r>
      <w:r w:rsidR="008440DB">
        <w:rPr>
          <w:szCs w:val="24"/>
        </w:rPr>
        <w:t>s</w:t>
      </w:r>
      <w:r w:rsidR="000117A7">
        <w:rPr>
          <w:szCs w:val="24"/>
        </w:rPr>
        <w:t xml:space="preserve"> from </w:t>
      </w:r>
      <w:r w:rsidR="0047789F">
        <w:t xml:space="preserve">a number of </w:t>
      </w:r>
      <w:r w:rsidR="00FA2C13">
        <w:t xml:space="preserve">additional </w:t>
      </w:r>
      <w:r w:rsidR="0047789F">
        <w:t xml:space="preserve">inputs </w:t>
      </w:r>
      <w:r w:rsidR="00FA2C13">
        <w:t xml:space="preserve">facilitated by Inspiring Scotland. </w:t>
      </w:r>
      <w:r w:rsidR="00F6190C">
        <w:t xml:space="preserve">Full reports on </w:t>
      </w:r>
      <w:r w:rsidR="00C561A7">
        <w:t>each of the inputs are</w:t>
      </w:r>
      <w:r w:rsidR="00F6190C">
        <w:t xml:space="preserve"> available if required. </w:t>
      </w:r>
      <w:r w:rsidR="00FA2C13">
        <w:t xml:space="preserve">These included: </w:t>
      </w:r>
      <w:r w:rsidR="0047789F">
        <w:t xml:space="preserve"> </w:t>
      </w:r>
    </w:p>
    <w:p w14:paraId="15C8BBD4" w14:textId="76C07CD5" w:rsidR="002806F4" w:rsidRDefault="002806F4" w:rsidP="004B3F33">
      <w:pPr>
        <w:pStyle w:val="Heading4"/>
        <w:rPr>
          <w:rFonts w:ascii="Arial" w:hAnsi="Arial" w:cs="Arial"/>
        </w:rPr>
      </w:pPr>
      <w:r>
        <w:rPr>
          <w:rFonts w:ascii="Arial" w:hAnsi="Arial" w:cs="Arial"/>
        </w:rPr>
        <w:t xml:space="preserve">Clinical Overview </w:t>
      </w:r>
    </w:p>
    <w:p w14:paraId="7F54DFB5" w14:textId="28BFB3C4" w:rsidR="004B3F33" w:rsidRDefault="004B3F33" w:rsidP="004B3F33">
      <w:r>
        <w:t xml:space="preserve">37 applications </w:t>
      </w:r>
      <w:r w:rsidR="007839DD">
        <w:t xml:space="preserve">were received to provide counselling and/ or psychological support. These received an additional assessment from a Clinical Psychologist who </w:t>
      </w:r>
      <w:r w:rsidR="009C180C">
        <w:t>provided a Red, Amber, Green (RAG) rating for each application</w:t>
      </w:r>
      <w:r w:rsidR="0006173F">
        <w:t>. This rating was</w:t>
      </w:r>
      <w:r w:rsidR="009C180C">
        <w:t xml:space="preserve"> based on </w:t>
      </w:r>
      <w:r w:rsidR="009F1653">
        <w:t xml:space="preserve">applicant </w:t>
      </w:r>
      <w:r w:rsidR="0080068A">
        <w:t xml:space="preserve">input </w:t>
      </w:r>
      <w:r w:rsidR="0006173F">
        <w:t>about</w:t>
      </w:r>
      <w:r w:rsidR="0080068A">
        <w:t xml:space="preserve"> the specific therapies they enga</w:t>
      </w:r>
      <w:r w:rsidR="0006173F">
        <w:t>ge</w:t>
      </w:r>
      <w:r w:rsidR="0080068A">
        <w:t>, the evidence base</w:t>
      </w:r>
      <w:r w:rsidR="0006173F">
        <w:t xml:space="preserve">, rationale for use, and how applicants consider and mitigate risk. </w:t>
      </w:r>
      <w:r w:rsidR="00E27934">
        <w:t xml:space="preserve">Observations and recommendations were presented </w:t>
      </w:r>
      <w:r w:rsidR="00346C89">
        <w:t>to the</w:t>
      </w:r>
      <w:r w:rsidR="00E27934">
        <w:t xml:space="preserve"> panel</w:t>
      </w:r>
      <w:r w:rsidR="00346C89">
        <w:t xml:space="preserve"> to review</w:t>
      </w:r>
      <w:r w:rsidR="00E27934">
        <w:t xml:space="preserve">. </w:t>
      </w:r>
      <w:r w:rsidR="009C180C">
        <w:t xml:space="preserve"> </w:t>
      </w:r>
    </w:p>
    <w:p w14:paraId="4ADBA694" w14:textId="06BF68FC" w:rsidR="00E27934" w:rsidRPr="008C3C54" w:rsidRDefault="008C3C54" w:rsidP="00E27934">
      <w:pPr>
        <w:pStyle w:val="Heading4"/>
        <w:rPr>
          <w:rFonts w:ascii="Arial" w:hAnsi="Arial" w:cs="Arial"/>
        </w:rPr>
      </w:pPr>
      <w:r w:rsidRPr="008C3C54">
        <w:rPr>
          <w:rFonts w:ascii="Arial" w:hAnsi="Arial" w:cs="Arial"/>
        </w:rPr>
        <w:t xml:space="preserve">Experts by Experience advisory forum </w:t>
      </w:r>
    </w:p>
    <w:p w14:paraId="39E66ED7" w14:textId="60EAB9FA" w:rsidR="0047789F" w:rsidRDefault="00C4382A" w:rsidP="009A222E">
      <w:r>
        <w:t xml:space="preserve">A combination of qualitative and quantitative research was carried out with survivors of Gender Based Violence and a research report </w:t>
      </w:r>
      <w:r w:rsidR="00F1594B">
        <w:t xml:space="preserve">presented to the decision making panel. The research included online focus groups </w:t>
      </w:r>
      <w:r w:rsidR="007A5FC3">
        <w:t>of</w:t>
      </w:r>
      <w:r w:rsidR="00F1594B">
        <w:t xml:space="preserve"> lived experience </w:t>
      </w:r>
      <w:r w:rsidR="00A93FB3">
        <w:t xml:space="preserve">panels </w:t>
      </w:r>
      <w:r w:rsidR="007A5FC3">
        <w:lastRenderedPageBreak/>
        <w:t>supported</w:t>
      </w:r>
      <w:r w:rsidR="00A93FB3">
        <w:t xml:space="preserve"> by Safe Lives, Rape Crisis Scotland, Scottish Women’s Aid, Shakti Women’s Aid and Deaf</w:t>
      </w:r>
      <w:r w:rsidR="00A04916">
        <w:t>L</w:t>
      </w:r>
      <w:r w:rsidR="00A93FB3">
        <w:t xml:space="preserve">inks. </w:t>
      </w:r>
      <w:r w:rsidR="00F37F63">
        <w:t>An</w:t>
      </w:r>
      <w:r w:rsidR="00A93FB3">
        <w:t xml:space="preserve"> online survey received 170 responses</w:t>
      </w:r>
      <w:r w:rsidR="009611FA">
        <w:t xml:space="preserve">. </w:t>
      </w:r>
    </w:p>
    <w:p w14:paraId="18D9E9B0" w14:textId="2CC882B7" w:rsidR="009611FA" w:rsidRPr="009611FA" w:rsidRDefault="009611FA" w:rsidP="009611FA">
      <w:pPr>
        <w:pStyle w:val="Heading4"/>
        <w:rPr>
          <w:rFonts w:ascii="Arial" w:hAnsi="Arial" w:cs="Arial"/>
        </w:rPr>
      </w:pPr>
      <w:r w:rsidRPr="009611FA">
        <w:rPr>
          <w:rFonts w:ascii="Arial" w:hAnsi="Arial" w:cs="Arial"/>
        </w:rPr>
        <w:t xml:space="preserve">Violence Against Women Partnerships involvement </w:t>
      </w:r>
    </w:p>
    <w:p w14:paraId="2F6FE9A5" w14:textId="71A2562C" w:rsidR="00FD1DE7" w:rsidRDefault="009A222E" w:rsidP="009A222E">
      <w:r>
        <w:t xml:space="preserve">Information from VAWP Chairs was gathered through two steps, </w:t>
      </w:r>
      <w:r w:rsidR="006C211E">
        <w:t>being</w:t>
      </w:r>
      <w:r>
        <w:t xml:space="preserve"> an online question</w:t>
      </w:r>
      <w:r w:rsidR="00541066">
        <w:t>naire on local p</w:t>
      </w:r>
      <w:r w:rsidR="00BB2A2C">
        <w:t>lans, priorities</w:t>
      </w:r>
      <w:r w:rsidR="00541066">
        <w:t xml:space="preserve"> and challenges</w:t>
      </w:r>
      <w:r w:rsidR="00BB2A2C">
        <w:t>,</w:t>
      </w:r>
      <w:r w:rsidR="00541066">
        <w:t xml:space="preserve"> and feedback from VAWP Chairs on anonymized applications from their local area. </w:t>
      </w:r>
      <w:r w:rsidR="002E200D">
        <w:t xml:space="preserve">The information provided local context and a </w:t>
      </w:r>
      <w:r w:rsidR="007E33CB">
        <w:t>summary report was pr</w:t>
      </w:r>
      <w:r w:rsidR="00B05C92">
        <w:t>esented</w:t>
      </w:r>
      <w:r w:rsidR="007E33CB">
        <w:t xml:space="preserve"> to the </w:t>
      </w:r>
      <w:r w:rsidR="00B05C92">
        <w:t>Scottish Government</w:t>
      </w:r>
      <w:r w:rsidR="007E33CB">
        <w:t xml:space="preserve"> panel. </w:t>
      </w:r>
      <w:r w:rsidR="004749F4">
        <w:t xml:space="preserve">This step in the process was added after the launch of the programme which left a short time period for Chairs to provide information. This led to varying engagement levels and criticism </w:t>
      </w:r>
      <w:r w:rsidR="00D44775">
        <w:t xml:space="preserve">about the process from VAWP </w:t>
      </w:r>
      <w:r w:rsidR="004749F4">
        <w:t>Chairs.</w:t>
      </w:r>
      <w:r w:rsidR="00403FF3">
        <w:t xml:space="preserve"> </w:t>
      </w:r>
      <w:r w:rsidR="004749F4">
        <w:t xml:space="preserve">There were also conflict of interest </w:t>
      </w:r>
      <w:r w:rsidR="00403FF3">
        <w:t xml:space="preserve">concerns </w:t>
      </w:r>
      <w:r w:rsidR="004749F4">
        <w:t xml:space="preserve">that </w:t>
      </w:r>
      <w:r w:rsidR="00C96340">
        <w:t>were</w:t>
      </w:r>
      <w:r w:rsidR="004749F4">
        <w:t xml:space="preserve"> worked through as some Chairs were members of organisations applying to the Fund. </w:t>
      </w:r>
    </w:p>
    <w:p w14:paraId="4041256F" w14:textId="13DD23E1" w:rsidR="00FD1DE7" w:rsidRDefault="00991BB6" w:rsidP="00991BB6">
      <w:pPr>
        <w:pStyle w:val="Heading3"/>
      </w:pPr>
      <w:bookmarkStart w:id="8" w:name="_Toc106120899"/>
      <w:r>
        <w:t>2d. Panel meetings</w:t>
      </w:r>
      <w:r w:rsidR="00A5111F">
        <w:t xml:space="preserve"> and</w:t>
      </w:r>
      <w:r>
        <w:t xml:space="preserve"> grant offers</w:t>
      </w:r>
      <w:bookmarkEnd w:id="8"/>
      <w:r>
        <w:t xml:space="preserve"> </w:t>
      </w:r>
    </w:p>
    <w:p w14:paraId="54145253" w14:textId="68D955EA" w:rsidR="00087ED3" w:rsidRDefault="00383405" w:rsidP="0012558E">
      <w:r>
        <w:t>T</w:t>
      </w:r>
      <w:r w:rsidR="00613A53">
        <w:t xml:space="preserve">hree panel meetings were held in late July </w:t>
      </w:r>
      <w:r>
        <w:t xml:space="preserve">2021 </w:t>
      </w:r>
      <w:r w:rsidR="00613A53">
        <w:t xml:space="preserve">to discuss the </w:t>
      </w:r>
      <w:r w:rsidR="00F90ADA">
        <w:t>assessed</w:t>
      </w:r>
      <w:r w:rsidR="00613A53">
        <w:t xml:space="preserve"> applications,</w:t>
      </w:r>
      <w:r w:rsidR="00F90ADA">
        <w:t xml:space="preserve"> </w:t>
      </w:r>
      <w:r w:rsidR="009F04CB">
        <w:t>p</w:t>
      </w:r>
      <w:r w:rsidR="00F90ADA">
        <w:t>olicy team recommendations,</w:t>
      </w:r>
      <w:r w:rsidR="00613A53">
        <w:t xml:space="preserve"> the findings from the clinical review, experts by experience </w:t>
      </w:r>
      <w:r w:rsidR="00EE0965">
        <w:t>research</w:t>
      </w:r>
      <w:r w:rsidR="00E147A6">
        <w:t>,</w:t>
      </w:r>
      <w:r w:rsidR="00EE0965">
        <w:t xml:space="preserve"> and the VAWP</w:t>
      </w:r>
      <w:r w:rsidR="00087ED3">
        <w:t xml:space="preserve"> survey and Chair</w:t>
      </w:r>
      <w:r w:rsidR="00EE0965">
        <w:t xml:space="preserve"> input</w:t>
      </w:r>
      <w:r w:rsidR="00087ED3">
        <w:t xml:space="preserve"> on local applications. </w:t>
      </w:r>
    </w:p>
    <w:p w14:paraId="6937163C" w14:textId="27E3A557" w:rsidR="00E0695E" w:rsidRDefault="00087ED3" w:rsidP="0012558E">
      <w:r>
        <w:t>Due to the demand on funding, a</w:t>
      </w:r>
      <w:r w:rsidR="00F90ADA">
        <w:t xml:space="preserve"> number of different funding scenarios were looked </w:t>
      </w:r>
      <w:r>
        <w:t>at</w:t>
      </w:r>
      <w:r w:rsidR="001019FD">
        <w:t xml:space="preserve"> wit</w:t>
      </w:r>
      <w:r w:rsidR="006B4E1A">
        <w:t xml:space="preserve">h </w:t>
      </w:r>
      <w:r w:rsidR="001019FD">
        <w:t xml:space="preserve">discussions </w:t>
      </w:r>
      <w:r w:rsidR="006B4E1A">
        <w:t>including,</w:t>
      </w:r>
      <w:r w:rsidR="001019FD">
        <w:t xml:space="preserve"> how</w:t>
      </w:r>
      <w:r>
        <w:t xml:space="preserve"> to get a fair geographic distribution of funding, funding against the ES priorities</w:t>
      </w:r>
      <w:r w:rsidR="001019FD">
        <w:t>,</w:t>
      </w:r>
      <w:r>
        <w:t xml:space="preserve"> and ensuring groups sharing protected characteristics would get access to specialist services.</w:t>
      </w:r>
      <w:r w:rsidR="00EC1117">
        <w:t xml:space="preserve"> </w:t>
      </w:r>
    </w:p>
    <w:p w14:paraId="70E80CDF" w14:textId="77777777" w:rsidR="00060F05" w:rsidRDefault="00EC1117" w:rsidP="0012558E">
      <w:r>
        <w:t>Final panel recommendations to Minister</w:t>
      </w:r>
      <w:r w:rsidR="008601A1">
        <w:t>s</w:t>
      </w:r>
      <w:r>
        <w:t xml:space="preserve"> included</w:t>
      </w:r>
      <w:r w:rsidR="00060F05">
        <w:t xml:space="preserve"> </w:t>
      </w:r>
      <w:r w:rsidR="00F84B62">
        <w:t>part</w:t>
      </w:r>
      <w:r w:rsidR="00601B04">
        <w:t>ial</w:t>
      </w:r>
      <w:r w:rsidR="00F84B62">
        <w:t>-offers</w:t>
      </w:r>
      <w:r w:rsidR="00060F05">
        <w:t xml:space="preserve"> </w:t>
      </w:r>
      <w:r w:rsidR="00B0122F">
        <w:t>to 95 projects (88 organisations)</w:t>
      </w:r>
      <w:r w:rsidR="00835998">
        <w:t xml:space="preserve">. This enabled more activity and proposals to be supported. </w:t>
      </w:r>
    </w:p>
    <w:p w14:paraId="664AC23E" w14:textId="74C1DEBA" w:rsidR="00DC1D8D" w:rsidRDefault="00060F05" w:rsidP="0012558E">
      <w:r>
        <w:t xml:space="preserve">Following final agreement and notification, </w:t>
      </w:r>
      <w:r w:rsidR="00601B04">
        <w:t xml:space="preserve">Inspiring Scotland spent much of August and September working </w:t>
      </w:r>
      <w:r w:rsidR="0033772A">
        <w:t>with organisations to</w:t>
      </w:r>
      <w:r w:rsidR="00601B04">
        <w:t xml:space="preserve"> re-profile</w:t>
      </w:r>
      <w:r w:rsidR="0033772A">
        <w:t xml:space="preserve"> proposed budgets and agree what activities would be delivered</w:t>
      </w:r>
      <w:r w:rsidR="006A448A">
        <w:t xml:space="preserve"> with these partial awards. </w:t>
      </w:r>
    </w:p>
    <w:p w14:paraId="470AB0E9" w14:textId="70F27C45" w:rsidR="0036405A" w:rsidRDefault="00D418C4" w:rsidP="00DC1D8D">
      <w:pPr>
        <w:pStyle w:val="Heading4"/>
        <w:rPr>
          <w:rFonts w:ascii="Arial" w:hAnsi="Arial" w:cs="Arial"/>
        </w:rPr>
      </w:pPr>
      <w:r>
        <w:rPr>
          <w:rFonts w:ascii="Arial" w:hAnsi="Arial" w:cs="Arial"/>
        </w:rPr>
        <w:t xml:space="preserve">DES grant offer comparisons </w:t>
      </w:r>
    </w:p>
    <w:p w14:paraId="20CFE6CD" w14:textId="6D7F594A" w:rsidR="00D418C4" w:rsidRDefault="00D418C4" w:rsidP="00D418C4">
      <w:pPr>
        <w:pStyle w:val="ListParagraph"/>
        <w:numPr>
          <w:ilvl w:val="0"/>
          <w:numId w:val="6"/>
        </w:numPr>
      </w:pPr>
      <w:r>
        <w:t xml:space="preserve">96% </w:t>
      </w:r>
      <w:r w:rsidR="00CC41BA">
        <w:t xml:space="preserve">(all, but 3) </w:t>
      </w:r>
      <w:r>
        <w:t xml:space="preserve">of previously funded </w:t>
      </w:r>
      <w:r w:rsidR="00CC41BA">
        <w:t xml:space="preserve">(ESVAWG/RCS) </w:t>
      </w:r>
      <w:r w:rsidR="003D71D9">
        <w:t xml:space="preserve">were offered either a </w:t>
      </w:r>
      <w:r w:rsidR="00D96D42">
        <w:t xml:space="preserve"> full or partial award </w:t>
      </w:r>
    </w:p>
    <w:p w14:paraId="17554E95" w14:textId="059D8BCF" w:rsidR="00D96D42" w:rsidRDefault="00D96D42" w:rsidP="00D418C4">
      <w:pPr>
        <w:pStyle w:val="ListParagraph"/>
        <w:numPr>
          <w:ilvl w:val="0"/>
          <w:numId w:val="6"/>
        </w:numPr>
      </w:pPr>
      <w:r>
        <w:t>The average partial award was 77% of what was requested with 4 receiving 50% of their requested amount</w:t>
      </w:r>
    </w:p>
    <w:p w14:paraId="63A42549" w14:textId="036B4F3D" w:rsidR="00D96D42" w:rsidRDefault="00D96D42" w:rsidP="00D418C4">
      <w:pPr>
        <w:pStyle w:val="ListParagraph"/>
        <w:numPr>
          <w:ilvl w:val="0"/>
          <w:numId w:val="6"/>
        </w:numPr>
      </w:pPr>
      <w:r>
        <w:t xml:space="preserve">No organisation </w:t>
      </w:r>
      <w:r w:rsidR="00581F00">
        <w:t>were offered less than they had previously received</w:t>
      </w:r>
      <w:r w:rsidR="00FF0537">
        <w:t xml:space="preserve"> in funding</w:t>
      </w:r>
      <w:r w:rsidR="00581F00">
        <w:t xml:space="preserve">. </w:t>
      </w:r>
    </w:p>
    <w:p w14:paraId="1508C051" w14:textId="2BFCCEF3" w:rsidR="00581F00" w:rsidRDefault="00581F00" w:rsidP="00D418C4">
      <w:pPr>
        <w:pStyle w:val="ListParagraph"/>
        <w:numPr>
          <w:ilvl w:val="0"/>
          <w:numId w:val="6"/>
        </w:numPr>
      </w:pPr>
      <w:r>
        <w:t>Women’s Aid organisations request</w:t>
      </w:r>
      <w:r w:rsidR="00782284">
        <w:t>s equated to</w:t>
      </w:r>
      <w:r>
        <w:t xml:space="preserve"> 35% of the total </w:t>
      </w:r>
      <w:r w:rsidR="00782284">
        <w:t xml:space="preserve">requested via DES and </w:t>
      </w:r>
      <w:r w:rsidR="00562439">
        <w:t>were offered</w:t>
      </w:r>
      <w:r w:rsidR="00782284">
        <w:t xml:space="preserve"> 43% of </w:t>
      </w:r>
      <w:r w:rsidR="00D87097">
        <w:t>funded awarded</w:t>
      </w:r>
      <w:r w:rsidR="00782284">
        <w:t xml:space="preserve"> </w:t>
      </w:r>
    </w:p>
    <w:p w14:paraId="0F655BD4" w14:textId="432CFFA9" w:rsidR="00782284" w:rsidRDefault="00782284" w:rsidP="00D418C4">
      <w:pPr>
        <w:pStyle w:val="ListParagraph"/>
        <w:numPr>
          <w:ilvl w:val="0"/>
          <w:numId w:val="6"/>
        </w:numPr>
      </w:pPr>
      <w:r>
        <w:t xml:space="preserve">Rape Crisis Centres </w:t>
      </w:r>
      <w:r w:rsidR="00562439">
        <w:t xml:space="preserve">requested 17.3% of the total requested and were offered 21.5% of funding awarded </w:t>
      </w:r>
    </w:p>
    <w:p w14:paraId="2822B677" w14:textId="03EB6E76" w:rsidR="003D71D9" w:rsidRPr="00D418C4" w:rsidRDefault="0053371F" w:rsidP="0053371F">
      <w:pPr>
        <w:pStyle w:val="Heading3"/>
      </w:pPr>
      <w:bookmarkStart w:id="9" w:name="_Toc106120900"/>
      <w:r>
        <w:t>2e. Applicant feedback on DES funding application process</w:t>
      </w:r>
      <w:bookmarkEnd w:id="9"/>
      <w:r>
        <w:t xml:space="preserve"> </w:t>
      </w:r>
    </w:p>
    <w:p w14:paraId="05DD9F9C" w14:textId="1CB84FED" w:rsidR="00AF44E6" w:rsidRDefault="008A4A4F" w:rsidP="00AF44E6">
      <w:pPr>
        <w:spacing w:before="120"/>
      </w:pPr>
      <w:r>
        <w:t xml:space="preserve">We undertook a survey of all applicants </w:t>
      </w:r>
      <w:r w:rsidR="0020247F">
        <w:t>to get their views on the pre-application support provided and the overall process of submitting an application</w:t>
      </w:r>
      <w:r w:rsidR="00AF44E6">
        <w:t xml:space="preserve">. </w:t>
      </w:r>
      <w:r w:rsidR="00E60620">
        <w:t xml:space="preserve">A full report on </w:t>
      </w:r>
      <w:r w:rsidR="00E60620">
        <w:lastRenderedPageBreak/>
        <w:t xml:space="preserve">feedback is available if required. </w:t>
      </w:r>
      <w:r w:rsidR="00BE0FC8">
        <w:t xml:space="preserve">The availability of pre-application support was very well received: </w:t>
      </w:r>
    </w:p>
    <w:p w14:paraId="6175858C" w14:textId="2D70C7AA" w:rsidR="00AF44E6" w:rsidRDefault="00610CE5" w:rsidP="00AF44E6">
      <w:pPr>
        <w:pStyle w:val="ListParagraph"/>
        <w:numPr>
          <w:ilvl w:val="0"/>
          <w:numId w:val="8"/>
        </w:numPr>
        <w:spacing w:before="120"/>
      </w:pPr>
      <w:r>
        <w:t>Webinars</w:t>
      </w:r>
      <w:r w:rsidR="009C4865">
        <w:t xml:space="preserve"> and phone/ email support </w:t>
      </w:r>
      <w:r w:rsidR="006172D6">
        <w:t xml:space="preserve">were </w:t>
      </w:r>
      <w:r w:rsidR="009C4865">
        <w:t>the most common way of seeking support</w:t>
      </w:r>
      <w:r w:rsidR="007471DA">
        <w:t xml:space="preserve">. </w:t>
      </w:r>
      <w:r w:rsidR="003808F4" w:rsidRPr="00BE0FC8">
        <w:rPr>
          <w:lang w:val="en-US"/>
        </w:rPr>
        <w:t>74% of respondents</w:t>
      </w:r>
      <w:r w:rsidR="003808F4">
        <w:rPr>
          <w:lang w:val="en-US"/>
        </w:rPr>
        <w:t xml:space="preserve"> requested one to one support by phone or email, with 91% reporting that it was of help or very helpful</w:t>
      </w:r>
    </w:p>
    <w:p w14:paraId="3E387AD9" w14:textId="77777777" w:rsidR="004D3688" w:rsidRPr="004D3688" w:rsidRDefault="00F47A0E" w:rsidP="004D3688">
      <w:pPr>
        <w:pStyle w:val="ListParagraph"/>
        <w:numPr>
          <w:ilvl w:val="0"/>
          <w:numId w:val="8"/>
        </w:numPr>
        <w:rPr>
          <w:lang w:val="en-US"/>
        </w:rPr>
      </w:pPr>
      <w:r>
        <w:t xml:space="preserve">People who were able to attend one-to-one surgery sessions rated them highly. </w:t>
      </w:r>
      <w:r w:rsidR="004D3688" w:rsidRPr="00BE0FC8">
        <w:rPr>
          <w:lang w:val="en-US"/>
        </w:rPr>
        <w:t xml:space="preserve">43% of the respondents </w:t>
      </w:r>
      <w:r w:rsidR="004D3688" w:rsidRPr="004D3688">
        <w:rPr>
          <w:lang w:val="en-US"/>
        </w:rPr>
        <w:t>attend a 1:1 surgery  with 100% of them stating that it helped a bit or was very helpful.</w:t>
      </w:r>
    </w:p>
    <w:p w14:paraId="4E020CF3" w14:textId="3AA24B3F" w:rsidR="00AC15C6" w:rsidRDefault="009746E5" w:rsidP="0053371F">
      <w:pPr>
        <w:spacing w:before="120"/>
      </w:pPr>
      <w:r>
        <w:t>There was</w:t>
      </w:r>
      <w:r w:rsidR="00BE0FC8">
        <w:t>,</w:t>
      </w:r>
      <w:r>
        <w:t xml:space="preserve"> </w:t>
      </w:r>
      <w:r w:rsidR="00BE0FC8">
        <w:t xml:space="preserve">however, </w:t>
      </w:r>
      <w:r>
        <w:t xml:space="preserve">a </w:t>
      </w:r>
      <w:r w:rsidR="00BE0FC8">
        <w:t xml:space="preserve">real </w:t>
      </w:r>
      <w:r>
        <w:t>mix of responses to how easy</w:t>
      </w:r>
      <w:r w:rsidR="00C561A7">
        <w:t xml:space="preserve"> or difficult</w:t>
      </w:r>
      <w:r>
        <w:t xml:space="preserve"> the application was to complete and submit</w:t>
      </w:r>
      <w:r w:rsidR="0006304A">
        <w:t>,</w:t>
      </w:r>
      <w:r w:rsidR="00724292">
        <w:t xml:space="preserve"> and a huge range of comments </w:t>
      </w:r>
      <w:r w:rsidR="00B67753">
        <w:t xml:space="preserve">and feedback on different elements of the form. </w:t>
      </w:r>
      <w:r w:rsidR="00D616E0">
        <w:t>Word limits w</w:t>
      </w:r>
      <w:r w:rsidR="002860EE">
        <w:t>ere</w:t>
      </w:r>
      <w:r w:rsidR="00D616E0">
        <w:t xml:space="preserve"> a common source of frustration. </w:t>
      </w:r>
    </w:p>
    <w:p w14:paraId="05271250" w14:textId="1A0F4963" w:rsidR="00AC15C6" w:rsidRDefault="00AC15C6" w:rsidP="0053371F">
      <w:pPr>
        <w:spacing w:before="120"/>
      </w:pPr>
      <w:r>
        <w:rPr>
          <w:noProof/>
          <w:lang w:eastAsia="en-GB"/>
        </w:rPr>
        <w:drawing>
          <wp:inline distT="0" distB="0" distL="0" distR="0" wp14:anchorId="577F18DB" wp14:editId="1DB10CB6">
            <wp:extent cx="5964072" cy="2901950"/>
            <wp:effectExtent l="0" t="0" r="17780" b="12700"/>
            <wp:docPr id="2" name="Chart 2">
              <a:extLst xmlns:a="http://schemas.openxmlformats.org/drawingml/2006/main">
                <a:ext uri="{FF2B5EF4-FFF2-40B4-BE49-F238E27FC236}">
                  <a16:creationId xmlns:a16="http://schemas.microsoft.com/office/drawing/2014/main" id="{8ADB0E5B-E059-47CA-8AF1-049C19E3D0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9F69DB" w14:textId="3F795BBF" w:rsidR="00283E6E" w:rsidRDefault="00D616E0" w:rsidP="0012558E">
      <w:r>
        <w:t xml:space="preserve">Many applicants found the changes to </w:t>
      </w:r>
      <w:r w:rsidR="004D3688">
        <w:t xml:space="preserve">the application and </w:t>
      </w:r>
      <w:r w:rsidR="0051656F">
        <w:t>criteria mid-way through the process frustrating</w:t>
      </w:r>
      <w:r w:rsidR="00DD1B73">
        <w:t>,</w:t>
      </w:r>
      <w:r w:rsidR="0051656F">
        <w:t xml:space="preserve"> and a cause for anxiety</w:t>
      </w:r>
      <w:r w:rsidR="004227D8">
        <w:t xml:space="preserve">, and it was clear that the </w:t>
      </w:r>
      <w:r w:rsidR="00FF2410">
        <w:t xml:space="preserve">comprehensive </w:t>
      </w:r>
      <w:r w:rsidR="004227D8">
        <w:t xml:space="preserve">application form </w:t>
      </w:r>
      <w:r w:rsidR="00FF2410">
        <w:t xml:space="preserve">was difficult especially for </w:t>
      </w:r>
      <w:r w:rsidR="008D7DCC">
        <w:t xml:space="preserve">smaller capacity organisations, and those seeking smaller amounts of funding. </w:t>
      </w:r>
    </w:p>
    <w:p w14:paraId="4B5E4833" w14:textId="47709DF5" w:rsidR="00D17A08" w:rsidRDefault="00E60620" w:rsidP="00F111ED">
      <w:pPr>
        <w:pStyle w:val="Heading3"/>
      </w:pPr>
      <w:bookmarkStart w:id="10" w:name="_Toc106120901"/>
      <w:r>
        <w:t>2f. Inspiring Scotland r</w:t>
      </w:r>
      <w:r w:rsidR="00D17A08">
        <w:t xml:space="preserve">eflections </w:t>
      </w:r>
      <w:r w:rsidR="00952934">
        <w:t xml:space="preserve">for </w:t>
      </w:r>
      <w:r>
        <w:t>future application processes</w:t>
      </w:r>
      <w:bookmarkEnd w:id="10"/>
      <w:r>
        <w:t xml:space="preserve"> </w:t>
      </w:r>
    </w:p>
    <w:p w14:paraId="6D429360" w14:textId="037F2853" w:rsidR="008D14AB" w:rsidRDefault="00882014" w:rsidP="00C209C4">
      <w:pPr>
        <w:spacing w:before="120"/>
      </w:pPr>
      <w:r>
        <w:t xml:space="preserve">In September 2021 we </w:t>
      </w:r>
      <w:r w:rsidR="006F0FD5">
        <w:t>held a</w:t>
      </w:r>
      <w:r>
        <w:t xml:space="preserve"> meeting with Scottish Government colleagues where we reflected on the application process and learning from </w:t>
      </w:r>
      <w:r w:rsidR="00872B72">
        <w:t xml:space="preserve">applicant and partner feedback. </w:t>
      </w:r>
      <w:r w:rsidR="00D32DD1">
        <w:t xml:space="preserve">The process was robust and fit for purpose. </w:t>
      </w:r>
      <w:r w:rsidR="00872B72">
        <w:t xml:space="preserve">There were </w:t>
      </w:r>
      <w:r w:rsidR="00D32DD1">
        <w:t xml:space="preserve">also </w:t>
      </w:r>
      <w:r w:rsidR="008D14AB">
        <w:t xml:space="preserve">some </w:t>
      </w:r>
      <w:r w:rsidR="00872B72">
        <w:t xml:space="preserve">exceptional circumstances to this funding process, and </w:t>
      </w:r>
      <w:r w:rsidR="00DF508D">
        <w:t xml:space="preserve">an acknowledgement that the strategic review will look at funding in more depth. </w:t>
      </w:r>
    </w:p>
    <w:p w14:paraId="0EA0DA63" w14:textId="41B03317" w:rsidR="00DF508D" w:rsidRDefault="00D32DD1" w:rsidP="00C209C4">
      <w:pPr>
        <w:spacing w:before="120"/>
      </w:pPr>
      <w:r>
        <w:t>In the spirit of reflection and continuous improvement, s</w:t>
      </w:r>
      <w:r w:rsidR="00DF508D">
        <w:t xml:space="preserve">ome of the key areas of learning from an Inspiring Scotland perspective are: </w:t>
      </w:r>
    </w:p>
    <w:p w14:paraId="6DD4DF19" w14:textId="1E07082F" w:rsidR="008C76F2" w:rsidRDefault="008C76F2" w:rsidP="008C76F2">
      <w:pPr>
        <w:pStyle w:val="Heading4"/>
        <w:rPr>
          <w:rFonts w:ascii="Arial" w:hAnsi="Arial" w:cs="Arial"/>
        </w:rPr>
      </w:pPr>
      <w:r>
        <w:rPr>
          <w:rFonts w:ascii="Arial" w:hAnsi="Arial" w:cs="Arial"/>
        </w:rPr>
        <w:lastRenderedPageBreak/>
        <w:t>Development or capacity building funding</w:t>
      </w:r>
      <w:r w:rsidR="00731466">
        <w:rPr>
          <w:rFonts w:ascii="Arial" w:hAnsi="Arial" w:cs="Arial"/>
        </w:rPr>
        <w:t xml:space="preserve"> to</w:t>
      </w:r>
      <w:r w:rsidR="004C57D8">
        <w:rPr>
          <w:rFonts w:ascii="Arial" w:hAnsi="Arial" w:cs="Arial"/>
        </w:rPr>
        <w:t xml:space="preserve"> enable </w:t>
      </w:r>
      <w:r w:rsidR="00B90DB6">
        <w:rPr>
          <w:rFonts w:ascii="Arial" w:hAnsi="Arial" w:cs="Arial"/>
        </w:rPr>
        <w:t xml:space="preserve">a </w:t>
      </w:r>
      <w:r w:rsidR="00731466">
        <w:rPr>
          <w:rFonts w:ascii="Arial" w:hAnsi="Arial" w:cs="Arial"/>
        </w:rPr>
        <w:t>wider range of support</w:t>
      </w:r>
    </w:p>
    <w:p w14:paraId="5D44873C" w14:textId="74B68E80" w:rsidR="00EB470F" w:rsidRDefault="00661C56" w:rsidP="00EB470F">
      <w:r>
        <w:t>The Experts by Experience research</w:t>
      </w:r>
      <w:r w:rsidR="00EE0271">
        <w:t xml:space="preserve"> </w:t>
      </w:r>
      <w:r w:rsidR="00AB5DD9">
        <w:t xml:space="preserve">demonstrated that </w:t>
      </w:r>
      <w:r w:rsidR="000D256E">
        <w:t xml:space="preserve">survivors </w:t>
      </w:r>
      <w:r w:rsidR="00FA51BE">
        <w:t>have</w:t>
      </w:r>
      <w:r w:rsidR="000D256E">
        <w:t xml:space="preserve"> difficulties accessing </w:t>
      </w:r>
      <w:r w:rsidR="00FA51BE">
        <w:t>the support they need</w:t>
      </w:r>
      <w:r w:rsidR="009342C2">
        <w:t>.</w:t>
      </w:r>
      <w:r w:rsidR="000D3488">
        <w:t xml:space="preserve"> </w:t>
      </w:r>
      <w:r w:rsidR="00EB470F" w:rsidRPr="009D2945">
        <w:t>Most respondents</w:t>
      </w:r>
      <w:r w:rsidR="00EB470F">
        <w:t xml:space="preserve"> had contacted at least 2 or 3 organisations before they found what they needed (73%). Indeed, it wasn’t uncommon to have contacted at least 4 organisations (35%).  </w:t>
      </w:r>
    </w:p>
    <w:p w14:paraId="7C03DE83" w14:textId="0542DF58" w:rsidR="00A30253" w:rsidRDefault="005A0B3E" w:rsidP="00A12E07">
      <w:r>
        <w:t>The table below</w:t>
      </w:r>
      <w:r w:rsidR="0029632F">
        <w:t xml:space="preserve"> outlines some of the multiple challenges </w:t>
      </w:r>
      <w:r w:rsidR="00FA51BE">
        <w:t xml:space="preserve">faced </w:t>
      </w:r>
      <w:r w:rsidR="00C954CA">
        <w:t xml:space="preserve">by </w:t>
      </w:r>
      <w:r w:rsidR="001B32DC">
        <w:t>s</w:t>
      </w:r>
      <w:r w:rsidR="00C954CA">
        <w:t>urvivors when accessing support</w:t>
      </w:r>
    </w:p>
    <w:p w14:paraId="5A5CB3FA" w14:textId="77777777" w:rsidR="005A0B3E" w:rsidRPr="00657630" w:rsidRDefault="005A0B3E" w:rsidP="005A0B3E">
      <w:pPr>
        <w:rPr>
          <w:i/>
          <w:iCs/>
        </w:rPr>
      </w:pPr>
      <w:r>
        <w:rPr>
          <w:i/>
          <w:iCs/>
        </w:rPr>
        <w:t>Fig 10: Difficulties Experienced Accessing Support</w:t>
      </w:r>
    </w:p>
    <w:tbl>
      <w:tblPr>
        <w:tblStyle w:val="TableGrid"/>
        <w:tblW w:w="0" w:type="auto"/>
        <w:tblLook w:val="04A0" w:firstRow="1" w:lastRow="0" w:firstColumn="1" w:lastColumn="0" w:noHBand="0" w:noVBand="1"/>
      </w:tblPr>
      <w:tblGrid>
        <w:gridCol w:w="7792"/>
        <w:gridCol w:w="992"/>
      </w:tblGrid>
      <w:tr w:rsidR="005A0B3E" w14:paraId="2B0E509D" w14:textId="77777777" w:rsidTr="0055416E">
        <w:trPr>
          <w:trHeight w:val="245"/>
        </w:trPr>
        <w:tc>
          <w:tcPr>
            <w:tcW w:w="7792" w:type="dxa"/>
          </w:tcPr>
          <w:p w14:paraId="317159AF" w14:textId="77777777" w:rsidR="005A0B3E" w:rsidRPr="00727B1F" w:rsidRDefault="005A0B3E" w:rsidP="00065660">
            <w:pPr>
              <w:rPr>
                <w:sz w:val="20"/>
                <w:szCs w:val="20"/>
              </w:rPr>
            </w:pPr>
          </w:p>
        </w:tc>
        <w:tc>
          <w:tcPr>
            <w:tcW w:w="992" w:type="dxa"/>
          </w:tcPr>
          <w:p w14:paraId="648A5C93" w14:textId="77777777" w:rsidR="005A0B3E" w:rsidRPr="00727B1F" w:rsidRDefault="005A0B3E" w:rsidP="00065660">
            <w:pPr>
              <w:rPr>
                <w:b/>
                <w:bCs/>
                <w:sz w:val="20"/>
                <w:szCs w:val="20"/>
              </w:rPr>
            </w:pPr>
            <w:r w:rsidRPr="00727B1F">
              <w:rPr>
                <w:b/>
                <w:bCs/>
                <w:sz w:val="20"/>
                <w:szCs w:val="20"/>
              </w:rPr>
              <w:t>%</w:t>
            </w:r>
          </w:p>
        </w:tc>
      </w:tr>
      <w:tr w:rsidR="005A0B3E" w14:paraId="005146F1" w14:textId="77777777" w:rsidTr="0055416E">
        <w:trPr>
          <w:trHeight w:val="245"/>
        </w:trPr>
        <w:tc>
          <w:tcPr>
            <w:tcW w:w="7792" w:type="dxa"/>
          </w:tcPr>
          <w:p w14:paraId="5F376F60" w14:textId="77777777" w:rsidR="005A0B3E" w:rsidRPr="0055416E" w:rsidRDefault="005A0B3E" w:rsidP="00065660">
            <w:pPr>
              <w:rPr>
                <w:sz w:val="22"/>
              </w:rPr>
            </w:pPr>
            <w:r w:rsidRPr="0055416E">
              <w:rPr>
                <w:sz w:val="22"/>
              </w:rPr>
              <w:t>Not knowing what support was available to me</w:t>
            </w:r>
          </w:p>
        </w:tc>
        <w:tc>
          <w:tcPr>
            <w:tcW w:w="992" w:type="dxa"/>
          </w:tcPr>
          <w:p w14:paraId="6CB895A2" w14:textId="77777777" w:rsidR="005A0B3E" w:rsidRPr="0055416E" w:rsidRDefault="005A0B3E" w:rsidP="00065660">
            <w:pPr>
              <w:rPr>
                <w:sz w:val="22"/>
              </w:rPr>
            </w:pPr>
            <w:r w:rsidRPr="0055416E">
              <w:rPr>
                <w:sz w:val="22"/>
              </w:rPr>
              <w:t>54</w:t>
            </w:r>
          </w:p>
        </w:tc>
      </w:tr>
      <w:tr w:rsidR="005A0B3E" w14:paraId="191D3288" w14:textId="77777777" w:rsidTr="0055416E">
        <w:trPr>
          <w:trHeight w:val="225"/>
        </w:trPr>
        <w:tc>
          <w:tcPr>
            <w:tcW w:w="7792" w:type="dxa"/>
          </w:tcPr>
          <w:p w14:paraId="491B2BFF" w14:textId="77777777" w:rsidR="005A0B3E" w:rsidRPr="0055416E" w:rsidRDefault="005A0B3E" w:rsidP="00065660">
            <w:pPr>
              <w:rPr>
                <w:sz w:val="22"/>
              </w:rPr>
            </w:pPr>
            <w:r w:rsidRPr="0055416E">
              <w:rPr>
                <w:sz w:val="22"/>
              </w:rPr>
              <w:t>Waiting lists</w:t>
            </w:r>
          </w:p>
        </w:tc>
        <w:tc>
          <w:tcPr>
            <w:tcW w:w="992" w:type="dxa"/>
          </w:tcPr>
          <w:p w14:paraId="3273A211" w14:textId="77777777" w:rsidR="005A0B3E" w:rsidRPr="0055416E" w:rsidRDefault="005A0B3E" w:rsidP="00065660">
            <w:pPr>
              <w:rPr>
                <w:sz w:val="22"/>
              </w:rPr>
            </w:pPr>
            <w:r w:rsidRPr="0055416E">
              <w:rPr>
                <w:sz w:val="22"/>
              </w:rPr>
              <w:t>45</w:t>
            </w:r>
          </w:p>
        </w:tc>
      </w:tr>
      <w:tr w:rsidR="005A0B3E" w14:paraId="4F66372E" w14:textId="77777777" w:rsidTr="0055416E">
        <w:trPr>
          <w:trHeight w:val="245"/>
        </w:trPr>
        <w:tc>
          <w:tcPr>
            <w:tcW w:w="7792" w:type="dxa"/>
          </w:tcPr>
          <w:p w14:paraId="10284268" w14:textId="77777777" w:rsidR="005A0B3E" w:rsidRPr="0055416E" w:rsidRDefault="005A0B3E" w:rsidP="00065660">
            <w:pPr>
              <w:rPr>
                <w:sz w:val="22"/>
              </w:rPr>
            </w:pPr>
            <w:r w:rsidRPr="0055416E">
              <w:rPr>
                <w:sz w:val="22"/>
              </w:rPr>
              <w:t>A lack of emotional or mental health support</w:t>
            </w:r>
          </w:p>
        </w:tc>
        <w:tc>
          <w:tcPr>
            <w:tcW w:w="992" w:type="dxa"/>
          </w:tcPr>
          <w:p w14:paraId="73884FB1" w14:textId="77777777" w:rsidR="005A0B3E" w:rsidRPr="0055416E" w:rsidRDefault="005A0B3E" w:rsidP="00065660">
            <w:pPr>
              <w:rPr>
                <w:sz w:val="22"/>
              </w:rPr>
            </w:pPr>
            <w:r w:rsidRPr="0055416E">
              <w:rPr>
                <w:sz w:val="22"/>
              </w:rPr>
              <w:t>44</w:t>
            </w:r>
          </w:p>
        </w:tc>
      </w:tr>
      <w:tr w:rsidR="005A0B3E" w14:paraId="4B2E6CD5" w14:textId="77777777" w:rsidTr="0055416E">
        <w:trPr>
          <w:trHeight w:val="245"/>
        </w:trPr>
        <w:tc>
          <w:tcPr>
            <w:tcW w:w="7792" w:type="dxa"/>
          </w:tcPr>
          <w:p w14:paraId="1F5FBF8C" w14:textId="77777777" w:rsidR="005A0B3E" w:rsidRPr="0055416E" w:rsidRDefault="005A0B3E" w:rsidP="00065660">
            <w:pPr>
              <w:rPr>
                <w:sz w:val="22"/>
              </w:rPr>
            </w:pPr>
            <w:r w:rsidRPr="0055416E">
              <w:rPr>
                <w:sz w:val="22"/>
              </w:rPr>
              <w:t xml:space="preserve">Being passed from one service to another </w:t>
            </w:r>
          </w:p>
        </w:tc>
        <w:tc>
          <w:tcPr>
            <w:tcW w:w="992" w:type="dxa"/>
          </w:tcPr>
          <w:p w14:paraId="37441D8D" w14:textId="77777777" w:rsidR="005A0B3E" w:rsidRPr="0055416E" w:rsidRDefault="005A0B3E" w:rsidP="00065660">
            <w:pPr>
              <w:rPr>
                <w:sz w:val="22"/>
              </w:rPr>
            </w:pPr>
            <w:r w:rsidRPr="0055416E">
              <w:rPr>
                <w:sz w:val="22"/>
              </w:rPr>
              <w:t>38</w:t>
            </w:r>
          </w:p>
        </w:tc>
      </w:tr>
      <w:tr w:rsidR="005A0B3E" w14:paraId="4009310E" w14:textId="77777777" w:rsidTr="00AD21CD">
        <w:trPr>
          <w:trHeight w:val="294"/>
        </w:trPr>
        <w:tc>
          <w:tcPr>
            <w:tcW w:w="7792" w:type="dxa"/>
          </w:tcPr>
          <w:p w14:paraId="4F121393" w14:textId="77777777" w:rsidR="005A0B3E" w:rsidRPr="0055416E" w:rsidRDefault="005A0B3E" w:rsidP="00065660">
            <w:pPr>
              <w:rPr>
                <w:sz w:val="22"/>
              </w:rPr>
            </w:pPr>
            <w:r w:rsidRPr="0055416E">
              <w:rPr>
                <w:sz w:val="22"/>
              </w:rPr>
              <w:t>A lack of practical support e.g. housing, money/debt, legal advice</w:t>
            </w:r>
          </w:p>
        </w:tc>
        <w:tc>
          <w:tcPr>
            <w:tcW w:w="992" w:type="dxa"/>
          </w:tcPr>
          <w:p w14:paraId="0385D356" w14:textId="77777777" w:rsidR="005A0B3E" w:rsidRPr="0055416E" w:rsidRDefault="005A0B3E" w:rsidP="00065660">
            <w:pPr>
              <w:rPr>
                <w:sz w:val="22"/>
              </w:rPr>
            </w:pPr>
            <w:r w:rsidRPr="0055416E">
              <w:rPr>
                <w:sz w:val="22"/>
              </w:rPr>
              <w:t>27</w:t>
            </w:r>
          </w:p>
        </w:tc>
      </w:tr>
      <w:tr w:rsidR="005A0B3E" w14:paraId="1FDA3DEE" w14:textId="77777777" w:rsidTr="0055416E">
        <w:trPr>
          <w:trHeight w:val="245"/>
        </w:trPr>
        <w:tc>
          <w:tcPr>
            <w:tcW w:w="7792" w:type="dxa"/>
          </w:tcPr>
          <w:p w14:paraId="3BABC35F" w14:textId="77777777" w:rsidR="005A0B3E" w:rsidRPr="0055416E" w:rsidRDefault="005A0B3E" w:rsidP="00065660">
            <w:pPr>
              <w:rPr>
                <w:sz w:val="22"/>
              </w:rPr>
            </w:pPr>
            <w:r w:rsidRPr="0055416E">
              <w:rPr>
                <w:sz w:val="22"/>
              </w:rPr>
              <w:t>Lack of support in my local area</w:t>
            </w:r>
          </w:p>
        </w:tc>
        <w:tc>
          <w:tcPr>
            <w:tcW w:w="992" w:type="dxa"/>
          </w:tcPr>
          <w:p w14:paraId="4772F2D2" w14:textId="77777777" w:rsidR="005A0B3E" w:rsidRPr="0055416E" w:rsidRDefault="005A0B3E" w:rsidP="00065660">
            <w:pPr>
              <w:rPr>
                <w:sz w:val="22"/>
              </w:rPr>
            </w:pPr>
            <w:r w:rsidRPr="0055416E">
              <w:rPr>
                <w:sz w:val="22"/>
              </w:rPr>
              <w:t>24</w:t>
            </w:r>
          </w:p>
        </w:tc>
      </w:tr>
      <w:tr w:rsidR="005A0B3E" w14:paraId="5EC4B51C" w14:textId="77777777" w:rsidTr="0055416E">
        <w:trPr>
          <w:trHeight w:val="245"/>
        </w:trPr>
        <w:tc>
          <w:tcPr>
            <w:tcW w:w="7792" w:type="dxa"/>
          </w:tcPr>
          <w:p w14:paraId="12868C8F" w14:textId="77777777" w:rsidR="005A0B3E" w:rsidRPr="0055416E" w:rsidRDefault="005A0B3E" w:rsidP="00065660">
            <w:pPr>
              <w:rPr>
                <w:sz w:val="22"/>
              </w:rPr>
            </w:pPr>
            <w:r w:rsidRPr="0055416E">
              <w:rPr>
                <w:sz w:val="22"/>
              </w:rPr>
              <w:t>Not being eligible for support</w:t>
            </w:r>
          </w:p>
        </w:tc>
        <w:tc>
          <w:tcPr>
            <w:tcW w:w="992" w:type="dxa"/>
          </w:tcPr>
          <w:p w14:paraId="4ECB0D29" w14:textId="77777777" w:rsidR="005A0B3E" w:rsidRPr="0055416E" w:rsidRDefault="005A0B3E" w:rsidP="00065660">
            <w:pPr>
              <w:rPr>
                <w:sz w:val="22"/>
              </w:rPr>
            </w:pPr>
            <w:r w:rsidRPr="0055416E">
              <w:rPr>
                <w:sz w:val="22"/>
              </w:rPr>
              <w:t>19</w:t>
            </w:r>
          </w:p>
        </w:tc>
      </w:tr>
      <w:tr w:rsidR="005A0B3E" w14:paraId="2C14BB2D" w14:textId="77777777" w:rsidTr="0055416E">
        <w:trPr>
          <w:trHeight w:val="245"/>
        </w:trPr>
        <w:tc>
          <w:tcPr>
            <w:tcW w:w="7792" w:type="dxa"/>
          </w:tcPr>
          <w:p w14:paraId="3B64DD7F" w14:textId="77777777" w:rsidR="005A0B3E" w:rsidRPr="0055416E" w:rsidRDefault="005A0B3E" w:rsidP="00065660">
            <w:pPr>
              <w:rPr>
                <w:sz w:val="22"/>
              </w:rPr>
            </w:pPr>
            <w:r w:rsidRPr="0055416E">
              <w:rPr>
                <w:sz w:val="22"/>
              </w:rPr>
              <w:t>Not being believed</w:t>
            </w:r>
          </w:p>
        </w:tc>
        <w:tc>
          <w:tcPr>
            <w:tcW w:w="992" w:type="dxa"/>
          </w:tcPr>
          <w:p w14:paraId="27922150" w14:textId="77777777" w:rsidR="005A0B3E" w:rsidRPr="0055416E" w:rsidRDefault="005A0B3E" w:rsidP="00065660">
            <w:pPr>
              <w:rPr>
                <w:sz w:val="22"/>
              </w:rPr>
            </w:pPr>
            <w:r w:rsidRPr="0055416E">
              <w:rPr>
                <w:sz w:val="22"/>
              </w:rPr>
              <w:t>19</w:t>
            </w:r>
          </w:p>
        </w:tc>
      </w:tr>
      <w:tr w:rsidR="005A0B3E" w14:paraId="33277433" w14:textId="77777777" w:rsidTr="0055416E">
        <w:trPr>
          <w:trHeight w:val="245"/>
        </w:trPr>
        <w:tc>
          <w:tcPr>
            <w:tcW w:w="7792" w:type="dxa"/>
          </w:tcPr>
          <w:p w14:paraId="325D8145" w14:textId="77777777" w:rsidR="005A0B3E" w:rsidRPr="0055416E" w:rsidRDefault="005A0B3E" w:rsidP="00065660">
            <w:pPr>
              <w:rPr>
                <w:sz w:val="22"/>
              </w:rPr>
            </w:pPr>
            <w:r w:rsidRPr="0055416E">
              <w:rPr>
                <w:sz w:val="22"/>
              </w:rPr>
              <w:t>A lack of support for my children</w:t>
            </w:r>
          </w:p>
        </w:tc>
        <w:tc>
          <w:tcPr>
            <w:tcW w:w="992" w:type="dxa"/>
          </w:tcPr>
          <w:p w14:paraId="4834F853" w14:textId="77777777" w:rsidR="005A0B3E" w:rsidRPr="0055416E" w:rsidRDefault="005A0B3E" w:rsidP="00065660">
            <w:pPr>
              <w:rPr>
                <w:sz w:val="22"/>
              </w:rPr>
            </w:pPr>
            <w:r w:rsidRPr="0055416E">
              <w:rPr>
                <w:sz w:val="22"/>
              </w:rPr>
              <w:t>19</w:t>
            </w:r>
          </w:p>
        </w:tc>
      </w:tr>
      <w:tr w:rsidR="005A0B3E" w14:paraId="684AB6D5" w14:textId="77777777" w:rsidTr="0055416E">
        <w:trPr>
          <w:trHeight w:val="225"/>
        </w:trPr>
        <w:tc>
          <w:tcPr>
            <w:tcW w:w="7792" w:type="dxa"/>
          </w:tcPr>
          <w:p w14:paraId="0BA19F86" w14:textId="77777777" w:rsidR="005A0B3E" w:rsidRPr="0055416E" w:rsidRDefault="005A0B3E" w:rsidP="00065660">
            <w:pPr>
              <w:rPr>
                <w:sz w:val="22"/>
              </w:rPr>
            </w:pPr>
            <w:r w:rsidRPr="0055416E">
              <w:rPr>
                <w:sz w:val="22"/>
              </w:rPr>
              <w:t>Services lacked knowledge of my culture/faith</w:t>
            </w:r>
          </w:p>
        </w:tc>
        <w:tc>
          <w:tcPr>
            <w:tcW w:w="992" w:type="dxa"/>
          </w:tcPr>
          <w:p w14:paraId="527186BC" w14:textId="77777777" w:rsidR="005A0B3E" w:rsidRPr="0055416E" w:rsidRDefault="005A0B3E" w:rsidP="00065660">
            <w:pPr>
              <w:rPr>
                <w:sz w:val="22"/>
              </w:rPr>
            </w:pPr>
            <w:r w:rsidRPr="0055416E">
              <w:rPr>
                <w:sz w:val="22"/>
              </w:rPr>
              <w:t>8</w:t>
            </w:r>
          </w:p>
        </w:tc>
      </w:tr>
      <w:tr w:rsidR="005A0B3E" w14:paraId="4FF25F95" w14:textId="77777777" w:rsidTr="0055416E">
        <w:trPr>
          <w:trHeight w:val="245"/>
        </w:trPr>
        <w:tc>
          <w:tcPr>
            <w:tcW w:w="7792" w:type="dxa"/>
          </w:tcPr>
          <w:p w14:paraId="1554EFBC" w14:textId="77777777" w:rsidR="005A0B3E" w:rsidRPr="0055416E" w:rsidRDefault="005A0B3E" w:rsidP="00065660">
            <w:pPr>
              <w:rPr>
                <w:sz w:val="22"/>
              </w:rPr>
            </w:pPr>
            <w:r w:rsidRPr="0055416E">
              <w:rPr>
                <w:sz w:val="22"/>
              </w:rPr>
              <w:t>Services weren’t available in my language</w:t>
            </w:r>
          </w:p>
        </w:tc>
        <w:tc>
          <w:tcPr>
            <w:tcW w:w="992" w:type="dxa"/>
          </w:tcPr>
          <w:p w14:paraId="767DB76A" w14:textId="77777777" w:rsidR="005A0B3E" w:rsidRPr="0055416E" w:rsidRDefault="005A0B3E" w:rsidP="00065660">
            <w:pPr>
              <w:rPr>
                <w:sz w:val="22"/>
              </w:rPr>
            </w:pPr>
            <w:r w:rsidRPr="0055416E">
              <w:rPr>
                <w:sz w:val="22"/>
              </w:rPr>
              <w:t>7</w:t>
            </w:r>
          </w:p>
        </w:tc>
      </w:tr>
      <w:tr w:rsidR="005A0B3E" w14:paraId="56951539" w14:textId="77777777" w:rsidTr="0055416E">
        <w:trPr>
          <w:trHeight w:val="245"/>
        </w:trPr>
        <w:tc>
          <w:tcPr>
            <w:tcW w:w="7792" w:type="dxa"/>
          </w:tcPr>
          <w:p w14:paraId="2049BD8F" w14:textId="77777777" w:rsidR="005A0B3E" w:rsidRPr="0055416E" w:rsidRDefault="005A0B3E" w:rsidP="00065660">
            <w:pPr>
              <w:rPr>
                <w:sz w:val="22"/>
              </w:rPr>
            </w:pPr>
            <w:r w:rsidRPr="0055416E">
              <w:rPr>
                <w:sz w:val="22"/>
              </w:rPr>
              <w:t>Services not accessible for my disability</w:t>
            </w:r>
          </w:p>
        </w:tc>
        <w:tc>
          <w:tcPr>
            <w:tcW w:w="992" w:type="dxa"/>
          </w:tcPr>
          <w:p w14:paraId="47F9D60A" w14:textId="77777777" w:rsidR="005A0B3E" w:rsidRPr="0055416E" w:rsidRDefault="005A0B3E" w:rsidP="00065660">
            <w:pPr>
              <w:rPr>
                <w:sz w:val="22"/>
              </w:rPr>
            </w:pPr>
            <w:r w:rsidRPr="0055416E">
              <w:rPr>
                <w:sz w:val="22"/>
              </w:rPr>
              <w:t>4</w:t>
            </w:r>
          </w:p>
        </w:tc>
      </w:tr>
      <w:tr w:rsidR="005A0B3E" w14:paraId="2336D2E2" w14:textId="77777777" w:rsidTr="0055416E">
        <w:trPr>
          <w:trHeight w:val="245"/>
        </w:trPr>
        <w:tc>
          <w:tcPr>
            <w:tcW w:w="7792" w:type="dxa"/>
          </w:tcPr>
          <w:p w14:paraId="305C1283" w14:textId="77777777" w:rsidR="005A0B3E" w:rsidRPr="0055416E" w:rsidRDefault="005A0B3E" w:rsidP="00065660">
            <w:pPr>
              <w:rPr>
                <w:sz w:val="22"/>
              </w:rPr>
            </w:pPr>
            <w:r w:rsidRPr="0055416E">
              <w:rPr>
                <w:sz w:val="22"/>
              </w:rPr>
              <w:t>Services didn’t consider my sexuality</w:t>
            </w:r>
          </w:p>
        </w:tc>
        <w:tc>
          <w:tcPr>
            <w:tcW w:w="992" w:type="dxa"/>
          </w:tcPr>
          <w:p w14:paraId="573EE728" w14:textId="77777777" w:rsidR="005A0B3E" w:rsidRPr="0055416E" w:rsidRDefault="005A0B3E" w:rsidP="00065660">
            <w:pPr>
              <w:rPr>
                <w:sz w:val="22"/>
              </w:rPr>
            </w:pPr>
            <w:r w:rsidRPr="0055416E">
              <w:rPr>
                <w:sz w:val="22"/>
              </w:rPr>
              <w:t>4</w:t>
            </w:r>
          </w:p>
        </w:tc>
      </w:tr>
      <w:tr w:rsidR="005A0B3E" w14:paraId="74E31E6D" w14:textId="77777777" w:rsidTr="0055416E">
        <w:trPr>
          <w:trHeight w:val="245"/>
        </w:trPr>
        <w:tc>
          <w:tcPr>
            <w:tcW w:w="7792" w:type="dxa"/>
          </w:tcPr>
          <w:p w14:paraId="0944EA6B" w14:textId="77777777" w:rsidR="005A0B3E" w:rsidRPr="0055416E" w:rsidRDefault="005A0B3E" w:rsidP="00065660">
            <w:pPr>
              <w:rPr>
                <w:sz w:val="22"/>
              </w:rPr>
            </w:pPr>
            <w:r w:rsidRPr="0055416E">
              <w:rPr>
                <w:sz w:val="22"/>
              </w:rPr>
              <w:t>Services didn’t consider my gender identity</w:t>
            </w:r>
          </w:p>
        </w:tc>
        <w:tc>
          <w:tcPr>
            <w:tcW w:w="992" w:type="dxa"/>
          </w:tcPr>
          <w:p w14:paraId="33E1B4D5" w14:textId="77777777" w:rsidR="005A0B3E" w:rsidRPr="0055416E" w:rsidRDefault="005A0B3E" w:rsidP="00065660">
            <w:pPr>
              <w:rPr>
                <w:sz w:val="22"/>
              </w:rPr>
            </w:pPr>
            <w:r w:rsidRPr="0055416E">
              <w:rPr>
                <w:sz w:val="22"/>
              </w:rPr>
              <w:t>3</w:t>
            </w:r>
          </w:p>
        </w:tc>
      </w:tr>
      <w:tr w:rsidR="005A0B3E" w14:paraId="55116C3C" w14:textId="77777777" w:rsidTr="0055416E">
        <w:trPr>
          <w:trHeight w:val="245"/>
        </w:trPr>
        <w:tc>
          <w:tcPr>
            <w:tcW w:w="7792" w:type="dxa"/>
          </w:tcPr>
          <w:p w14:paraId="48132DA3" w14:textId="77777777" w:rsidR="005A0B3E" w:rsidRPr="0055416E" w:rsidRDefault="005A0B3E" w:rsidP="00065660">
            <w:pPr>
              <w:rPr>
                <w:sz w:val="22"/>
              </w:rPr>
            </w:pPr>
            <w:r w:rsidRPr="0055416E">
              <w:rPr>
                <w:sz w:val="22"/>
              </w:rPr>
              <w:t>Other</w:t>
            </w:r>
          </w:p>
        </w:tc>
        <w:tc>
          <w:tcPr>
            <w:tcW w:w="992" w:type="dxa"/>
          </w:tcPr>
          <w:p w14:paraId="22CAB1BD" w14:textId="77777777" w:rsidR="005A0B3E" w:rsidRPr="0055416E" w:rsidRDefault="005A0B3E" w:rsidP="00065660">
            <w:pPr>
              <w:rPr>
                <w:sz w:val="22"/>
              </w:rPr>
            </w:pPr>
            <w:r w:rsidRPr="0055416E">
              <w:rPr>
                <w:sz w:val="22"/>
              </w:rPr>
              <w:t>14</w:t>
            </w:r>
          </w:p>
        </w:tc>
      </w:tr>
      <w:tr w:rsidR="005A0B3E" w14:paraId="032D2737" w14:textId="77777777" w:rsidTr="0055416E">
        <w:trPr>
          <w:trHeight w:val="225"/>
        </w:trPr>
        <w:tc>
          <w:tcPr>
            <w:tcW w:w="7792" w:type="dxa"/>
          </w:tcPr>
          <w:p w14:paraId="18722C11" w14:textId="77777777" w:rsidR="005A0B3E" w:rsidRPr="0055416E" w:rsidRDefault="005A0B3E" w:rsidP="00065660">
            <w:pPr>
              <w:rPr>
                <w:sz w:val="22"/>
              </w:rPr>
            </w:pPr>
            <w:r w:rsidRPr="0055416E">
              <w:rPr>
                <w:sz w:val="22"/>
              </w:rPr>
              <w:t xml:space="preserve">No reply </w:t>
            </w:r>
          </w:p>
        </w:tc>
        <w:tc>
          <w:tcPr>
            <w:tcW w:w="992" w:type="dxa"/>
          </w:tcPr>
          <w:p w14:paraId="6F113BB9" w14:textId="77777777" w:rsidR="005A0B3E" w:rsidRPr="0055416E" w:rsidRDefault="005A0B3E" w:rsidP="00065660">
            <w:pPr>
              <w:rPr>
                <w:sz w:val="22"/>
              </w:rPr>
            </w:pPr>
            <w:r w:rsidRPr="0055416E">
              <w:rPr>
                <w:sz w:val="22"/>
              </w:rPr>
              <w:t>18</w:t>
            </w:r>
          </w:p>
        </w:tc>
      </w:tr>
      <w:tr w:rsidR="005A0B3E" w14:paraId="7A120DEF" w14:textId="77777777" w:rsidTr="0055416E">
        <w:trPr>
          <w:trHeight w:val="245"/>
        </w:trPr>
        <w:tc>
          <w:tcPr>
            <w:tcW w:w="8784" w:type="dxa"/>
            <w:gridSpan w:val="2"/>
          </w:tcPr>
          <w:p w14:paraId="764617F5" w14:textId="77777777" w:rsidR="005A0B3E" w:rsidRPr="0055416E" w:rsidRDefault="005A0B3E" w:rsidP="00065660">
            <w:pPr>
              <w:rPr>
                <w:sz w:val="22"/>
              </w:rPr>
            </w:pPr>
            <w:r w:rsidRPr="0055416E">
              <w:rPr>
                <w:sz w:val="22"/>
              </w:rPr>
              <w:t>Base: 170</w:t>
            </w:r>
          </w:p>
        </w:tc>
      </w:tr>
    </w:tbl>
    <w:p w14:paraId="3A2BD4C4" w14:textId="77777777" w:rsidR="00F730A5" w:rsidRDefault="00F730A5" w:rsidP="00731466"/>
    <w:p w14:paraId="306789A7" w14:textId="2E627307" w:rsidR="00C954CA" w:rsidRDefault="00F52B43" w:rsidP="00731466">
      <w:r>
        <w:t xml:space="preserve">We also know that groups may </w:t>
      </w:r>
      <w:r w:rsidR="00F730A5">
        <w:t>not have the capacity, skills or even charitable purposes in place to</w:t>
      </w:r>
      <w:r>
        <w:t xml:space="preserve"> provide </w:t>
      </w:r>
      <w:r w:rsidR="00F0111C">
        <w:t>a comprehensive</w:t>
      </w:r>
      <w:r>
        <w:t xml:space="preserve"> range of specialist support that is needed</w:t>
      </w:r>
      <w:r w:rsidR="002173A2">
        <w:t>. It is difficult both to get</w:t>
      </w:r>
      <w:r w:rsidR="00F0111C">
        <w:t>,</w:t>
      </w:r>
      <w:r w:rsidR="002173A2">
        <w:t xml:space="preserve"> and manage</w:t>
      </w:r>
      <w:r w:rsidR="00A27566">
        <w:t>,</w:t>
      </w:r>
      <w:r w:rsidR="002173A2">
        <w:t xml:space="preserve"> </w:t>
      </w:r>
      <w:r>
        <w:t>capacity</w:t>
      </w:r>
      <w:r w:rsidR="00252324">
        <w:t xml:space="preserve"> </w:t>
      </w:r>
      <w:r w:rsidR="002173A2">
        <w:t xml:space="preserve">building </w:t>
      </w:r>
      <w:r w:rsidR="00252324">
        <w:t xml:space="preserve">funding </w:t>
      </w:r>
      <w:r>
        <w:t xml:space="preserve">to develop specialist services </w:t>
      </w:r>
      <w:r w:rsidR="004B61EF">
        <w:t>(eg mental health</w:t>
      </w:r>
      <w:r w:rsidR="00D93605">
        <w:t xml:space="preserve"> services, services for people with learning disabilities,</w:t>
      </w:r>
      <w:r w:rsidR="00AD21CD">
        <w:t xml:space="preserve"> money advice</w:t>
      </w:r>
      <w:r w:rsidR="00D93605">
        <w:t xml:space="preserve">) </w:t>
      </w:r>
      <w:r w:rsidR="00327A29">
        <w:t xml:space="preserve">either themselves or </w:t>
      </w:r>
      <w:r w:rsidR="00041DED">
        <w:t>to develop working</w:t>
      </w:r>
      <w:r w:rsidR="00327A29">
        <w:t xml:space="preserve"> partnership</w:t>
      </w:r>
      <w:r w:rsidR="00041DED">
        <w:t>s</w:t>
      </w:r>
      <w:r w:rsidR="00327A29">
        <w:t xml:space="preserve"> with </w:t>
      </w:r>
      <w:r w:rsidR="00D93605">
        <w:t xml:space="preserve">partner </w:t>
      </w:r>
      <w:r w:rsidR="004B61EF">
        <w:t>organisations</w:t>
      </w:r>
      <w:r w:rsidR="00041DED">
        <w:t xml:space="preserve"> which would enable </w:t>
      </w:r>
      <w:r w:rsidR="001B32DC">
        <w:t>s</w:t>
      </w:r>
      <w:r w:rsidR="00041DED">
        <w:t xml:space="preserve">urvivors to have the holistic </w:t>
      </w:r>
      <w:r w:rsidR="00A27566">
        <w:t xml:space="preserve">accessible </w:t>
      </w:r>
      <w:r w:rsidR="00041DED">
        <w:t xml:space="preserve">support they may need. </w:t>
      </w:r>
    </w:p>
    <w:p w14:paraId="537662EB" w14:textId="4713ED6E" w:rsidR="00D93605" w:rsidRDefault="00061F3E" w:rsidP="00731466">
      <w:r>
        <w:t xml:space="preserve">A separate funding stream </w:t>
      </w:r>
      <w:r w:rsidR="00AD21CD">
        <w:t xml:space="preserve">that enables </w:t>
      </w:r>
      <w:r>
        <w:t>groups</w:t>
      </w:r>
      <w:r w:rsidR="00AD21CD">
        <w:t xml:space="preserve"> to develop these services and expertise</w:t>
      </w:r>
      <w:r w:rsidR="00405074">
        <w:t xml:space="preserve">, </w:t>
      </w:r>
      <w:r w:rsidR="00AD21CD">
        <w:t xml:space="preserve">either </w:t>
      </w:r>
      <w:r w:rsidR="00097FB3">
        <w:t>within frontline organisations or</w:t>
      </w:r>
      <w:r w:rsidR="00405074">
        <w:t>,</w:t>
      </w:r>
      <w:r w:rsidR="00097FB3">
        <w:t xml:space="preserve"> </w:t>
      </w:r>
      <w:r>
        <w:t xml:space="preserve">working with </w:t>
      </w:r>
      <w:r w:rsidR="00097FB3">
        <w:t>specialist groups</w:t>
      </w:r>
      <w:r>
        <w:t xml:space="preserve"> to develop</w:t>
      </w:r>
      <w:r w:rsidR="00097FB3">
        <w:t xml:space="preserve"> </w:t>
      </w:r>
      <w:r>
        <w:t xml:space="preserve">services for </w:t>
      </w:r>
      <w:r w:rsidR="00097FB3">
        <w:t>survivors of gender based violence</w:t>
      </w:r>
      <w:r>
        <w:t xml:space="preserve">, could </w:t>
      </w:r>
      <w:r w:rsidR="005813EB">
        <w:t xml:space="preserve">be built into future funding programmes. </w:t>
      </w:r>
    </w:p>
    <w:p w14:paraId="3FE908D6" w14:textId="76CC6E2C" w:rsidR="00731466" w:rsidRDefault="00731466" w:rsidP="00731466">
      <w:r>
        <w:t xml:space="preserve">The quality of applications received to Delivering Equally Safe </w:t>
      </w:r>
      <w:r w:rsidR="003429DC">
        <w:t xml:space="preserve">in general </w:t>
      </w:r>
      <w:r>
        <w:t xml:space="preserve">was high. </w:t>
      </w:r>
      <w:r w:rsidR="003429DC">
        <w:t xml:space="preserve">However there was proportionally a small number of applications received from groups delivering specific expert support for people who share protected characteristics. </w:t>
      </w:r>
      <w:r w:rsidR="00CC6550">
        <w:t xml:space="preserve">This could also be addressed by offering capacity building funding </w:t>
      </w:r>
      <w:r w:rsidR="000A672F">
        <w:lastRenderedPageBreak/>
        <w:t xml:space="preserve">and time for groups to test different service models, </w:t>
      </w:r>
      <w:r w:rsidR="00CC6550">
        <w:t xml:space="preserve">in addition to service delivery funding. </w:t>
      </w:r>
    </w:p>
    <w:p w14:paraId="7B3DE05B" w14:textId="6CB7DC47" w:rsidR="00671ED0" w:rsidRDefault="00671ED0" w:rsidP="00DF508D">
      <w:pPr>
        <w:pStyle w:val="Heading4"/>
        <w:rPr>
          <w:rFonts w:ascii="Arial" w:hAnsi="Arial" w:cs="Arial"/>
        </w:rPr>
      </w:pPr>
      <w:r>
        <w:rPr>
          <w:rFonts w:ascii="Arial" w:hAnsi="Arial" w:cs="Arial"/>
        </w:rPr>
        <w:t xml:space="preserve">Time-scales </w:t>
      </w:r>
    </w:p>
    <w:p w14:paraId="2F1425CE" w14:textId="0A4BA5DE" w:rsidR="00671ED0" w:rsidRPr="00671ED0" w:rsidRDefault="005C766C" w:rsidP="00671ED0">
      <w:r>
        <w:t xml:space="preserve">Timescales throughout the DES assessment and decision making process were </w:t>
      </w:r>
      <w:r w:rsidR="000A672F">
        <w:t xml:space="preserve">incredibly </w:t>
      </w:r>
      <w:r>
        <w:t xml:space="preserve">pressured. </w:t>
      </w:r>
      <w:r w:rsidR="0073122F">
        <w:t xml:space="preserve">In part this was because they were squeezed </w:t>
      </w:r>
      <w:r w:rsidR="000A672F">
        <w:t xml:space="preserve">to enable a longer application period, </w:t>
      </w:r>
      <w:r w:rsidR="0073122F">
        <w:t xml:space="preserve">and additional steps </w:t>
      </w:r>
      <w:r w:rsidR="000A672F">
        <w:t xml:space="preserve">to the decision making process were </w:t>
      </w:r>
      <w:r w:rsidR="0073122F">
        <w:t xml:space="preserve">added </w:t>
      </w:r>
      <w:r w:rsidR="005B434A">
        <w:t>after the launch</w:t>
      </w:r>
      <w:r w:rsidR="000A672F">
        <w:t xml:space="preserve">. Even without these additional steps, </w:t>
      </w:r>
      <w:r w:rsidR="00847E38">
        <w:t>appropriate time</w:t>
      </w:r>
      <w:r w:rsidR="0073122F">
        <w:t xml:space="preserve"> should be built in </w:t>
      </w:r>
      <w:r w:rsidR="00847E38">
        <w:t xml:space="preserve">at assessment, </w:t>
      </w:r>
      <w:r w:rsidR="0073122F">
        <w:t xml:space="preserve">to enable negotiation of funding offers and for any follow-up questions on proposals submitted. </w:t>
      </w:r>
    </w:p>
    <w:p w14:paraId="090C3E98" w14:textId="79743C65" w:rsidR="00DF508D" w:rsidRPr="00C209C4" w:rsidRDefault="00C209C4" w:rsidP="00DF508D">
      <w:pPr>
        <w:pStyle w:val="Heading4"/>
        <w:rPr>
          <w:rFonts w:ascii="Arial" w:hAnsi="Arial" w:cs="Arial"/>
        </w:rPr>
      </w:pPr>
      <w:r w:rsidRPr="00C209C4">
        <w:rPr>
          <w:rFonts w:ascii="Arial" w:hAnsi="Arial" w:cs="Arial"/>
        </w:rPr>
        <w:t xml:space="preserve">Application form(s) and follow-up </w:t>
      </w:r>
    </w:p>
    <w:p w14:paraId="13BEAE65" w14:textId="26EA4C7D" w:rsidR="00882014" w:rsidRDefault="005B434A" w:rsidP="00B7604C">
      <w:r>
        <w:t xml:space="preserve">Related to the above, </w:t>
      </w:r>
      <w:r w:rsidR="0089483C">
        <w:t>how applications are submitted could be</w:t>
      </w:r>
      <w:r w:rsidR="00A62715">
        <w:t xml:space="preserve"> reviewed and improved</w:t>
      </w:r>
      <w:r w:rsidR="0089483C">
        <w:t xml:space="preserve">. </w:t>
      </w:r>
      <w:r w:rsidR="00A71745">
        <w:t xml:space="preserve">The simplicity of one form for all applicants to complete should be weighed against accessibility </w:t>
      </w:r>
      <w:r w:rsidR="00E63B40">
        <w:t>of</w:t>
      </w:r>
      <w:r w:rsidR="00A71745">
        <w:t xml:space="preserve"> the funding opportunity.</w:t>
      </w:r>
      <w:r w:rsidR="00A62715">
        <w:t xml:space="preserve"> </w:t>
      </w:r>
      <w:r w:rsidR="00A71745">
        <w:t xml:space="preserve">There is a huge range of organisations delivering services and contributing to the Equally Safe strategy. Future funding programmes may benefit from </w:t>
      </w:r>
      <w:r w:rsidR="00D07608">
        <w:t xml:space="preserve">different application forms for different sizes of grants, and organisations. An opportunity for organisations to verbally present their </w:t>
      </w:r>
      <w:r w:rsidR="00E63B40">
        <w:t xml:space="preserve">proposal via </w:t>
      </w:r>
      <w:r w:rsidR="006A31EC">
        <w:t xml:space="preserve">video submission or interview could also help </w:t>
      </w:r>
      <w:r w:rsidR="00644B2F">
        <w:t xml:space="preserve">organisations who are less skilled in completing applications, but that provide valuable services. </w:t>
      </w:r>
    </w:p>
    <w:p w14:paraId="6BCF8AC8" w14:textId="77777777" w:rsidR="00FC5F21" w:rsidRDefault="00FC5F21" w:rsidP="00FC5F21">
      <w:pPr>
        <w:pStyle w:val="Heading4"/>
        <w:rPr>
          <w:rFonts w:ascii="Arial" w:hAnsi="Arial" w:cs="Arial"/>
        </w:rPr>
      </w:pPr>
      <w:r w:rsidRPr="00FC5F21">
        <w:rPr>
          <w:rFonts w:ascii="Arial" w:hAnsi="Arial" w:cs="Arial"/>
        </w:rPr>
        <w:t xml:space="preserve">Local </w:t>
      </w:r>
      <w:r>
        <w:rPr>
          <w:rFonts w:ascii="Arial" w:hAnsi="Arial" w:cs="Arial"/>
        </w:rPr>
        <w:t>context to support understanding of priorities and gaps</w:t>
      </w:r>
    </w:p>
    <w:p w14:paraId="1833FEF6" w14:textId="7260F66E" w:rsidR="00FC5F21" w:rsidRDefault="00FC5F21" w:rsidP="00FC5F21">
      <w:r>
        <w:t xml:space="preserve">Alongside </w:t>
      </w:r>
      <w:r w:rsidR="00975D42">
        <w:t xml:space="preserve">engagement with </w:t>
      </w:r>
      <w:r w:rsidR="00423E17">
        <w:t>s</w:t>
      </w:r>
      <w:r w:rsidR="00975D42">
        <w:t xml:space="preserve">urvivors to support development of the fund, local involvement to understand different context and priorities </w:t>
      </w:r>
      <w:r w:rsidR="00C51B5F">
        <w:t>could</w:t>
      </w:r>
      <w:r w:rsidR="00B64CE5">
        <w:t xml:space="preserve"> be sought</w:t>
      </w:r>
      <w:r w:rsidR="00B2506D">
        <w:t xml:space="preserve"> and built into the application and decision making process</w:t>
      </w:r>
      <w:r w:rsidR="00B64CE5">
        <w:t xml:space="preserve"> before the funding opportunity is launched. </w:t>
      </w:r>
      <w:r w:rsidR="00423E17">
        <w:t>This is</w:t>
      </w:r>
      <w:r w:rsidR="00EF3CEB">
        <w:t xml:space="preserve"> </w:t>
      </w:r>
      <w:r w:rsidR="00423E17">
        <w:t>in part</w:t>
      </w:r>
      <w:r w:rsidR="00EF3CEB">
        <w:t>,</w:t>
      </w:r>
      <w:r w:rsidR="00423E17">
        <w:t xml:space="preserve"> reference to the time-pressures and concerns over conflict of interest with VAWP involvement</w:t>
      </w:r>
      <w:r w:rsidR="00EF3CEB">
        <w:t xml:space="preserve"> for DES, </w:t>
      </w:r>
      <w:r w:rsidR="005242A9">
        <w:t>but also in recognition that</w:t>
      </w:r>
      <w:r w:rsidR="00903E8A">
        <w:t xml:space="preserve"> there are different local contexts</w:t>
      </w:r>
      <w:r w:rsidR="00C241CC">
        <w:t xml:space="preserve"> and </w:t>
      </w:r>
      <w:r w:rsidR="00787F69">
        <w:t xml:space="preserve">strength of </w:t>
      </w:r>
      <w:r w:rsidR="00C241CC">
        <w:t>networks</w:t>
      </w:r>
      <w:r w:rsidR="000E2BB5">
        <w:t>,</w:t>
      </w:r>
      <w:r w:rsidR="00C241CC">
        <w:t xml:space="preserve"> and funding may be needed to support development of local pathways, </w:t>
      </w:r>
      <w:r w:rsidR="002C1C1C">
        <w:t xml:space="preserve">or specific </w:t>
      </w:r>
      <w:r w:rsidR="00C241CC">
        <w:t xml:space="preserve">capacity </w:t>
      </w:r>
      <w:r w:rsidR="002C1C1C">
        <w:t xml:space="preserve">building to address gaps in local provision. </w:t>
      </w:r>
    </w:p>
    <w:p w14:paraId="422FE679" w14:textId="76C482B1" w:rsidR="00C51B5F" w:rsidRPr="00C51B5F" w:rsidRDefault="00C51B5F" w:rsidP="00C51B5F">
      <w:pPr>
        <w:pStyle w:val="Heading4"/>
        <w:rPr>
          <w:rFonts w:ascii="Arial" w:hAnsi="Arial" w:cs="Arial"/>
        </w:rPr>
      </w:pPr>
      <w:r w:rsidRPr="00C51B5F">
        <w:rPr>
          <w:rFonts w:ascii="Arial" w:hAnsi="Arial" w:cs="Arial"/>
        </w:rPr>
        <w:t xml:space="preserve">More meaningful lived experience involvement </w:t>
      </w:r>
    </w:p>
    <w:p w14:paraId="402E15BB" w14:textId="64CF6441" w:rsidR="00B64CE5" w:rsidRDefault="00F445C9" w:rsidP="00FC5F21">
      <w:r>
        <w:t xml:space="preserve">There is universal agreement that the authentic and varied voice of people with </w:t>
      </w:r>
      <w:r w:rsidR="003B7868">
        <w:t xml:space="preserve">lived </w:t>
      </w:r>
      <w:r>
        <w:t xml:space="preserve">experience </w:t>
      </w:r>
      <w:r w:rsidR="001D0EF0">
        <w:t>is important to put at the heart of funding process</w:t>
      </w:r>
      <w:r w:rsidR="003B7868">
        <w:t>es</w:t>
      </w:r>
      <w:r w:rsidR="001D0EF0">
        <w:t>. Fund priorities</w:t>
      </w:r>
      <w:r w:rsidR="008A72B5">
        <w:t xml:space="preserve">, criteria and assessment guidance could </w:t>
      </w:r>
      <w:r w:rsidR="001D0EF0">
        <w:t xml:space="preserve">be </w:t>
      </w:r>
      <w:r w:rsidR="00397746">
        <w:t xml:space="preserve">developed based on the real experience of people. </w:t>
      </w:r>
      <w:r w:rsidR="0065296E">
        <w:t>Learning on how best</w:t>
      </w:r>
      <w:r w:rsidR="00397746">
        <w:t xml:space="preserve"> this is done, and </w:t>
      </w:r>
      <w:r w:rsidR="00095E60">
        <w:t>the resources to support this being done well</w:t>
      </w:r>
      <w:r w:rsidR="00F047B1">
        <w:t xml:space="preserve"> and safely</w:t>
      </w:r>
      <w:r w:rsidR="00095E60">
        <w:t>, is evolving</w:t>
      </w:r>
      <w:r w:rsidR="00185603">
        <w:t xml:space="preserve"> and needs planning and consultation.</w:t>
      </w:r>
      <w:r w:rsidR="00095E60">
        <w:t xml:space="preserve"> We are also aware that it shouldn’t stop once funding decisions are made, however this needs to be carefully and well resourced. The question of the value </w:t>
      </w:r>
      <w:r w:rsidR="002835B8">
        <w:t>of</w:t>
      </w:r>
      <w:r w:rsidR="00A56C6D">
        <w:t xml:space="preserve"> input </w:t>
      </w:r>
      <w:r w:rsidR="00095E60">
        <w:t xml:space="preserve">and therefore payment for lived experience </w:t>
      </w:r>
      <w:r w:rsidR="00A56C6D">
        <w:t xml:space="preserve">is something that is being discussed </w:t>
      </w:r>
      <w:r w:rsidR="0087156C">
        <w:t xml:space="preserve">across the public and third sector and any new fund </w:t>
      </w:r>
      <w:r w:rsidR="002835B8">
        <w:t xml:space="preserve">process </w:t>
      </w:r>
      <w:r w:rsidR="0087156C">
        <w:t xml:space="preserve">could incorporate best practice. </w:t>
      </w:r>
    </w:p>
    <w:p w14:paraId="57B3A71C" w14:textId="04F06E8C" w:rsidR="00BD75CB" w:rsidRDefault="00A94F82" w:rsidP="00A94F82">
      <w:pPr>
        <w:pStyle w:val="Heading2"/>
        <w:numPr>
          <w:ilvl w:val="0"/>
          <w:numId w:val="5"/>
        </w:numPr>
      </w:pPr>
      <w:bookmarkStart w:id="11" w:name="_Toc106120902"/>
      <w:r>
        <w:t>Portfolio learning</w:t>
      </w:r>
      <w:bookmarkEnd w:id="11"/>
      <w:r>
        <w:t xml:space="preserve"> </w:t>
      </w:r>
    </w:p>
    <w:p w14:paraId="73BAF146" w14:textId="1C383669" w:rsidR="0065296E" w:rsidRDefault="00944F7E" w:rsidP="00B64CE5">
      <w:pPr>
        <w:rPr>
          <w:lang w:val="en-US"/>
        </w:rPr>
      </w:pPr>
      <w:r>
        <w:rPr>
          <w:lang w:val="en-US"/>
        </w:rPr>
        <w:t xml:space="preserve">All </w:t>
      </w:r>
      <w:r w:rsidR="00104155">
        <w:rPr>
          <w:lang w:val="en-US"/>
        </w:rPr>
        <w:t xml:space="preserve">groups funded through Delivering Equally Safe </w:t>
      </w:r>
      <w:r w:rsidR="0065296E">
        <w:rPr>
          <w:lang w:val="en-US"/>
        </w:rPr>
        <w:t>will</w:t>
      </w:r>
      <w:r w:rsidR="00104155">
        <w:rPr>
          <w:lang w:val="en-US"/>
        </w:rPr>
        <w:t xml:space="preserve"> submit progress reports on a six monthly basis</w:t>
      </w:r>
      <w:r w:rsidR="0065296E">
        <w:rPr>
          <w:lang w:val="en-US"/>
        </w:rPr>
        <w:t xml:space="preserve"> as part of their grant conditions</w:t>
      </w:r>
      <w:r w:rsidR="00104155">
        <w:rPr>
          <w:lang w:val="en-US"/>
        </w:rPr>
        <w:t xml:space="preserve">. </w:t>
      </w:r>
      <w:r w:rsidR="0065296E">
        <w:rPr>
          <w:lang w:val="en-US"/>
        </w:rPr>
        <w:t>Learning will also be gathered by Inspiring Scotland through a</w:t>
      </w:r>
      <w:r w:rsidR="00987CE2">
        <w:rPr>
          <w:lang w:val="en-US"/>
        </w:rPr>
        <w:t>n annual</w:t>
      </w:r>
      <w:r w:rsidR="0065296E">
        <w:rPr>
          <w:lang w:val="en-US"/>
        </w:rPr>
        <w:t xml:space="preserve"> data capture, portfolio and learning events. </w:t>
      </w:r>
    </w:p>
    <w:p w14:paraId="2F4EEA21" w14:textId="02CD69F6" w:rsidR="005E171B" w:rsidRDefault="00104155" w:rsidP="00B64CE5">
      <w:pPr>
        <w:rPr>
          <w:lang w:val="en-US"/>
        </w:rPr>
      </w:pPr>
      <w:r>
        <w:rPr>
          <w:lang w:val="en-US"/>
        </w:rPr>
        <w:lastRenderedPageBreak/>
        <w:t xml:space="preserve">The first </w:t>
      </w:r>
      <w:r w:rsidR="0065296E">
        <w:rPr>
          <w:lang w:val="en-US"/>
        </w:rPr>
        <w:t xml:space="preserve">progress </w:t>
      </w:r>
      <w:r>
        <w:rPr>
          <w:lang w:val="en-US"/>
        </w:rPr>
        <w:t>reports were received in May 2022 and are currently being reviewed by the team</w:t>
      </w:r>
      <w:r w:rsidR="00FF42EF">
        <w:rPr>
          <w:lang w:val="en-US"/>
        </w:rPr>
        <w:t>. The</w:t>
      </w:r>
      <w:r w:rsidR="005E171B">
        <w:rPr>
          <w:lang w:val="en-US"/>
        </w:rPr>
        <w:t xml:space="preserve"> Fund</w:t>
      </w:r>
      <w:r>
        <w:rPr>
          <w:lang w:val="en-US"/>
        </w:rPr>
        <w:t xml:space="preserve"> progress update </w:t>
      </w:r>
      <w:r w:rsidR="005E171B">
        <w:rPr>
          <w:lang w:val="en-US"/>
        </w:rPr>
        <w:t>will be</w:t>
      </w:r>
      <w:r>
        <w:rPr>
          <w:lang w:val="en-US"/>
        </w:rPr>
        <w:t xml:space="preserve"> published and shared at the end of July.</w:t>
      </w:r>
      <w:r w:rsidR="009E59A3">
        <w:rPr>
          <w:lang w:val="en-US"/>
        </w:rPr>
        <w:t xml:space="preserve"> </w:t>
      </w:r>
      <w:r w:rsidR="005E171B">
        <w:rPr>
          <w:lang w:val="en-US"/>
        </w:rPr>
        <w:t>T</w:t>
      </w:r>
      <w:r w:rsidR="009E59A3">
        <w:rPr>
          <w:lang w:val="en-US"/>
        </w:rPr>
        <w:t xml:space="preserve">he Inspiring Scotland DES team are in regular contact with funded groups through one-to-one meetings, portfolio events and training sessions. </w:t>
      </w:r>
    </w:p>
    <w:p w14:paraId="1175ADA8" w14:textId="506F3882" w:rsidR="00B64CE5" w:rsidRDefault="00976D4A" w:rsidP="00B64CE5">
      <w:pPr>
        <w:rPr>
          <w:lang w:val="en-US"/>
        </w:rPr>
      </w:pPr>
      <w:r>
        <w:rPr>
          <w:lang w:val="en-US"/>
        </w:rPr>
        <w:t>With the caveat that the full analysis and report is still to be completed, s</w:t>
      </w:r>
      <w:r w:rsidR="005E2B2A">
        <w:rPr>
          <w:lang w:val="en-US"/>
        </w:rPr>
        <w:t xml:space="preserve">ome general observations from these interactions, </w:t>
      </w:r>
      <w:r w:rsidR="005E171B">
        <w:rPr>
          <w:lang w:val="en-US"/>
        </w:rPr>
        <w:t xml:space="preserve">and early analysis from the progress reports are: </w:t>
      </w:r>
    </w:p>
    <w:p w14:paraId="187D3CD4" w14:textId="7E407F34" w:rsidR="005E171B" w:rsidRDefault="006F4824" w:rsidP="00F4184F">
      <w:pPr>
        <w:pStyle w:val="Heading4"/>
        <w:rPr>
          <w:rFonts w:ascii="Arial" w:hAnsi="Arial" w:cs="Arial"/>
          <w:i w:val="0"/>
          <w:iCs w:val="0"/>
          <w:lang w:val="en-US"/>
        </w:rPr>
      </w:pPr>
      <w:r w:rsidRPr="006F4824">
        <w:rPr>
          <w:rFonts w:ascii="Arial" w:hAnsi="Arial" w:cs="Arial"/>
          <w:lang w:val="en-US"/>
        </w:rPr>
        <w:t xml:space="preserve">High demand and active response to changing circumstances </w:t>
      </w:r>
    </w:p>
    <w:p w14:paraId="457055D7" w14:textId="6DF2CA51" w:rsidR="00B15B50" w:rsidRDefault="00B15B50" w:rsidP="00D3397B">
      <w:pPr>
        <w:rPr>
          <w:lang w:val="en-US"/>
        </w:rPr>
      </w:pPr>
      <w:r>
        <w:rPr>
          <w:lang w:val="en-US"/>
        </w:rPr>
        <w:t>There are some excellent examples of</w:t>
      </w:r>
      <w:r w:rsidR="00D54904">
        <w:rPr>
          <w:lang w:val="en-US"/>
        </w:rPr>
        <w:t xml:space="preserve"> ongoing</w:t>
      </w:r>
      <w:r>
        <w:rPr>
          <w:lang w:val="en-US"/>
        </w:rPr>
        <w:t xml:space="preserve"> front-line delivery</w:t>
      </w:r>
      <w:r w:rsidR="00D54904">
        <w:rPr>
          <w:lang w:val="en-US"/>
        </w:rPr>
        <w:t xml:space="preserve">. Early analysis of quantitative data submitted </w:t>
      </w:r>
      <w:r w:rsidR="00603345">
        <w:rPr>
          <w:lang w:val="en-US"/>
        </w:rPr>
        <w:t>indicates that over 10,000</w:t>
      </w:r>
      <w:r w:rsidR="00690B8E">
        <w:rPr>
          <w:rStyle w:val="FootnoteReference"/>
          <w:lang w:val="en-US"/>
        </w:rPr>
        <w:footnoteReference w:id="3"/>
      </w:r>
      <w:r w:rsidR="00603345">
        <w:rPr>
          <w:lang w:val="en-US"/>
        </w:rPr>
        <w:t xml:space="preserve"> people have accessed one-to-one support </w:t>
      </w:r>
      <w:r w:rsidR="009B1755">
        <w:rPr>
          <w:lang w:val="en-US"/>
        </w:rPr>
        <w:t xml:space="preserve">in the first six months of DES funding. </w:t>
      </w:r>
      <w:r w:rsidR="00311BE7">
        <w:rPr>
          <w:lang w:val="en-US"/>
        </w:rPr>
        <w:t xml:space="preserve">Groups are adapting services to incorporate </w:t>
      </w:r>
      <w:r w:rsidR="001345E5">
        <w:rPr>
          <w:lang w:val="en-US"/>
        </w:rPr>
        <w:t xml:space="preserve">elements of digital delivery whilst also maintaining emergency and face-to-face support. </w:t>
      </w:r>
      <w:r w:rsidR="008479A6">
        <w:rPr>
          <w:lang w:val="en-US"/>
        </w:rPr>
        <w:t xml:space="preserve">Organisations are </w:t>
      </w:r>
      <w:r w:rsidR="0053451F">
        <w:rPr>
          <w:lang w:val="en-US"/>
        </w:rPr>
        <w:t>operat</w:t>
      </w:r>
      <w:r w:rsidR="008479A6">
        <w:rPr>
          <w:lang w:val="en-US"/>
        </w:rPr>
        <w:t>ing</w:t>
      </w:r>
      <w:r w:rsidR="0053451F">
        <w:rPr>
          <w:lang w:val="en-US"/>
        </w:rPr>
        <w:t xml:space="preserve"> waiting lists</w:t>
      </w:r>
      <w:r w:rsidR="00E22EAF">
        <w:rPr>
          <w:lang w:val="en-US"/>
        </w:rPr>
        <w:t xml:space="preserve"> and are reviewing their processes and contact methods with the aim of better supporting service users</w:t>
      </w:r>
      <w:r w:rsidR="001C496C">
        <w:rPr>
          <w:lang w:val="en-US"/>
        </w:rPr>
        <w:t xml:space="preserve">. </w:t>
      </w:r>
    </w:p>
    <w:p w14:paraId="35FD15F5" w14:textId="72A9AF54" w:rsidR="0053451F" w:rsidRPr="00D1072D" w:rsidRDefault="00D1072D" w:rsidP="00D1072D">
      <w:pPr>
        <w:pStyle w:val="Heading4"/>
        <w:rPr>
          <w:rFonts w:ascii="Arial" w:hAnsi="Arial" w:cs="Arial"/>
          <w:lang w:val="en-US"/>
        </w:rPr>
      </w:pPr>
      <w:r w:rsidRPr="00D1072D">
        <w:rPr>
          <w:rFonts w:ascii="Arial" w:hAnsi="Arial" w:cs="Arial"/>
          <w:lang w:val="en-US"/>
        </w:rPr>
        <w:t xml:space="preserve">The voluntary sector faces huge challenges with recruitment and retention </w:t>
      </w:r>
      <w:r w:rsidR="00FD4915">
        <w:rPr>
          <w:rFonts w:ascii="Arial" w:hAnsi="Arial" w:cs="Arial"/>
          <w:lang w:val="en-US"/>
        </w:rPr>
        <w:t>and pressure on the workforce</w:t>
      </w:r>
    </w:p>
    <w:p w14:paraId="093690B3" w14:textId="77777777" w:rsidR="00ED5D6C" w:rsidRDefault="0045767D" w:rsidP="00D3397B">
      <w:pPr>
        <w:rPr>
          <w:lang w:val="en-US"/>
        </w:rPr>
      </w:pPr>
      <w:r>
        <w:rPr>
          <w:lang w:val="en-US"/>
        </w:rPr>
        <w:t>There are recruitment challenges across all sectors, however it is being felt keenly in the voluntary sector. Comparably low wages</w:t>
      </w:r>
      <w:r>
        <w:rPr>
          <w:rStyle w:val="FootnoteReference"/>
          <w:lang w:val="en-US"/>
        </w:rPr>
        <w:footnoteReference w:id="4"/>
      </w:r>
      <w:r>
        <w:rPr>
          <w:lang w:val="en-US"/>
        </w:rPr>
        <w:t xml:space="preserve"> </w:t>
      </w:r>
      <w:r w:rsidR="00FD61D1">
        <w:rPr>
          <w:lang w:val="en-US"/>
        </w:rPr>
        <w:t>and pensions, plus a lack of security in funding</w:t>
      </w:r>
      <w:r w:rsidR="00BB11E4">
        <w:rPr>
          <w:lang w:val="en-US"/>
        </w:rPr>
        <w:t xml:space="preserve">, as well as general Covid-related changes to work choices, </w:t>
      </w:r>
      <w:r w:rsidR="00FD61D1">
        <w:rPr>
          <w:lang w:val="en-US"/>
        </w:rPr>
        <w:t>means that</w:t>
      </w:r>
      <w:r w:rsidR="00D3397B">
        <w:rPr>
          <w:lang w:val="en-US"/>
        </w:rPr>
        <w:t xml:space="preserve"> staff are either leaving for better </w:t>
      </w:r>
      <w:r w:rsidR="003D2B2D">
        <w:rPr>
          <w:lang w:val="en-US"/>
        </w:rPr>
        <w:t xml:space="preserve">work conditions, </w:t>
      </w:r>
      <w:r w:rsidR="00D3397B">
        <w:rPr>
          <w:lang w:val="en-US"/>
        </w:rPr>
        <w:t xml:space="preserve">or are not applying for </w:t>
      </w:r>
      <w:r w:rsidR="00BB11E4">
        <w:rPr>
          <w:lang w:val="en-US"/>
        </w:rPr>
        <w:t xml:space="preserve">positions. Some DES funded groups have not been able to recruit staff to new pieces of work, or replace departing staff. </w:t>
      </w:r>
    </w:p>
    <w:p w14:paraId="76FC8E94" w14:textId="40E79160" w:rsidR="00BD10B9" w:rsidRDefault="00C464D9" w:rsidP="00D3397B">
      <w:pPr>
        <w:rPr>
          <w:lang w:val="en-US"/>
        </w:rPr>
      </w:pPr>
      <w:r>
        <w:rPr>
          <w:lang w:val="en-US"/>
        </w:rPr>
        <w:t xml:space="preserve">Added to this is the need for </w:t>
      </w:r>
      <w:r w:rsidR="000857C9">
        <w:rPr>
          <w:lang w:val="en-US"/>
        </w:rPr>
        <w:t xml:space="preserve">increasingly </w:t>
      </w:r>
      <w:r>
        <w:rPr>
          <w:lang w:val="en-US"/>
        </w:rPr>
        <w:t xml:space="preserve">specialist skills, without the </w:t>
      </w:r>
      <w:r w:rsidR="00CF0C24">
        <w:rPr>
          <w:lang w:val="en-US"/>
        </w:rPr>
        <w:t>corresponding pay or work related benefits</w:t>
      </w:r>
      <w:r w:rsidR="00845DD4">
        <w:rPr>
          <w:lang w:val="en-US"/>
        </w:rPr>
        <w:t>, all making recruitment incredibly challenging</w:t>
      </w:r>
      <w:r w:rsidR="00BD10B9">
        <w:rPr>
          <w:lang w:val="en-US"/>
        </w:rPr>
        <w:t xml:space="preserve">. This </w:t>
      </w:r>
      <w:r w:rsidR="00CB3BE9">
        <w:rPr>
          <w:lang w:val="en-US"/>
        </w:rPr>
        <w:t>is adding</w:t>
      </w:r>
      <w:r w:rsidR="00BD10B9">
        <w:rPr>
          <w:lang w:val="en-US"/>
        </w:rPr>
        <w:t xml:space="preserve"> </w:t>
      </w:r>
      <w:r w:rsidR="00845DD4">
        <w:rPr>
          <w:lang w:val="en-US"/>
        </w:rPr>
        <w:t>more pressure to already stretched services</w:t>
      </w:r>
      <w:r w:rsidR="00BD10B9">
        <w:rPr>
          <w:lang w:val="en-US"/>
        </w:rPr>
        <w:t xml:space="preserve"> who are currently</w:t>
      </w:r>
      <w:r w:rsidR="00136E1F">
        <w:rPr>
          <w:lang w:val="en-US"/>
        </w:rPr>
        <w:t xml:space="preserve"> having to manage additional Covid related staff absences</w:t>
      </w:r>
      <w:r w:rsidR="00C30269">
        <w:rPr>
          <w:lang w:val="en-US"/>
        </w:rPr>
        <w:t xml:space="preserve">. </w:t>
      </w:r>
    </w:p>
    <w:p w14:paraId="7540A5CB" w14:textId="00B93AA0" w:rsidR="00ED5D6C" w:rsidRDefault="00ED5D6C" w:rsidP="00D3397B">
      <w:pPr>
        <w:rPr>
          <w:lang w:val="en-US"/>
        </w:rPr>
      </w:pPr>
      <w:r>
        <w:rPr>
          <w:lang w:val="en-US"/>
        </w:rPr>
        <w:t>There is a</w:t>
      </w:r>
      <w:r w:rsidR="005C4AB6">
        <w:rPr>
          <w:lang w:val="en-US"/>
        </w:rPr>
        <w:t>lso a</w:t>
      </w:r>
      <w:r>
        <w:rPr>
          <w:lang w:val="en-US"/>
        </w:rPr>
        <w:t xml:space="preserve"> feeling among some projects that </w:t>
      </w:r>
      <w:r w:rsidR="00BD7F68">
        <w:rPr>
          <w:lang w:val="en-US"/>
        </w:rPr>
        <w:t xml:space="preserve">Support Workers are not recognized in the same way as Care or Health Workers. They point to </w:t>
      </w:r>
      <w:r w:rsidR="00635D65">
        <w:rPr>
          <w:lang w:val="en-US"/>
        </w:rPr>
        <w:t xml:space="preserve">local variations on how Mental Health Support Workers are defined, and </w:t>
      </w:r>
      <w:r w:rsidR="00056915">
        <w:rPr>
          <w:lang w:val="en-US"/>
        </w:rPr>
        <w:t xml:space="preserve">how </w:t>
      </w:r>
      <w:r w:rsidR="00635D65">
        <w:rPr>
          <w:lang w:val="en-US"/>
        </w:rPr>
        <w:t>potential benefits</w:t>
      </w:r>
      <w:r w:rsidR="00C101F9">
        <w:rPr>
          <w:lang w:val="en-US"/>
        </w:rPr>
        <w:t>,</w:t>
      </w:r>
      <w:r w:rsidR="00635D65">
        <w:rPr>
          <w:lang w:val="en-US"/>
        </w:rPr>
        <w:t xml:space="preserve"> or access to </w:t>
      </w:r>
      <w:r w:rsidR="00056915">
        <w:rPr>
          <w:lang w:val="en-US"/>
        </w:rPr>
        <w:t xml:space="preserve">training and </w:t>
      </w:r>
      <w:r w:rsidR="00635D65">
        <w:rPr>
          <w:lang w:val="en-US"/>
        </w:rPr>
        <w:t>wellbeing support</w:t>
      </w:r>
      <w:r w:rsidR="00C101F9">
        <w:rPr>
          <w:lang w:val="en-US"/>
        </w:rPr>
        <w:t>,</w:t>
      </w:r>
      <w:r w:rsidR="00635D65">
        <w:rPr>
          <w:lang w:val="en-US"/>
        </w:rPr>
        <w:t xml:space="preserve"> is not available </w:t>
      </w:r>
      <w:r w:rsidR="00056915">
        <w:rPr>
          <w:lang w:val="en-US"/>
        </w:rPr>
        <w:t xml:space="preserve">to some </w:t>
      </w:r>
      <w:r w:rsidR="00E57775">
        <w:rPr>
          <w:lang w:val="en-US"/>
        </w:rPr>
        <w:t xml:space="preserve">frontline </w:t>
      </w:r>
      <w:r w:rsidR="00056915">
        <w:rPr>
          <w:lang w:val="en-US"/>
        </w:rPr>
        <w:t xml:space="preserve">Support Workers who are providing </w:t>
      </w:r>
      <w:r w:rsidR="00C101F9">
        <w:rPr>
          <w:lang w:val="en-US"/>
        </w:rPr>
        <w:t xml:space="preserve">crisis support to people with a range of complex support needs. </w:t>
      </w:r>
    </w:p>
    <w:p w14:paraId="0E5E77F3" w14:textId="77777777" w:rsidR="009D54CE" w:rsidRDefault="009D54CE" w:rsidP="006C5AD7">
      <w:pPr>
        <w:pStyle w:val="Heading4"/>
        <w:rPr>
          <w:rFonts w:ascii="Arial" w:hAnsi="Arial" w:cs="Arial"/>
          <w:lang w:val="en-US"/>
        </w:rPr>
      </w:pPr>
      <w:r>
        <w:rPr>
          <w:rFonts w:ascii="Arial" w:hAnsi="Arial" w:cs="Arial"/>
          <w:lang w:val="en-US"/>
        </w:rPr>
        <w:t xml:space="preserve">Cost of living challenges </w:t>
      </w:r>
    </w:p>
    <w:p w14:paraId="1738A010" w14:textId="411B451C" w:rsidR="009D54CE" w:rsidRPr="00AB07C0" w:rsidRDefault="00AB07C0" w:rsidP="00AB07C0">
      <w:pPr>
        <w:rPr>
          <w:lang w:val="en-US"/>
        </w:rPr>
      </w:pPr>
      <w:r>
        <w:rPr>
          <w:lang w:val="en-US"/>
        </w:rPr>
        <w:t xml:space="preserve">Cost of living challenges are impacting on the sector, both in the complexity of need </w:t>
      </w:r>
      <w:r w:rsidR="00AE5A6F">
        <w:rPr>
          <w:lang w:val="en-US"/>
        </w:rPr>
        <w:t>services are</w:t>
      </w:r>
      <w:r>
        <w:rPr>
          <w:lang w:val="en-US"/>
        </w:rPr>
        <w:t xml:space="preserve"> addressing and their own </w:t>
      </w:r>
      <w:r w:rsidR="00E57775">
        <w:rPr>
          <w:lang w:val="en-US"/>
        </w:rPr>
        <w:t xml:space="preserve">organisational finances. </w:t>
      </w:r>
      <w:r w:rsidR="00214754">
        <w:rPr>
          <w:lang w:val="en-US"/>
        </w:rPr>
        <w:t xml:space="preserve">The cost of living is having multiple impacts from increased </w:t>
      </w:r>
      <w:r w:rsidR="00F050BC">
        <w:rPr>
          <w:lang w:val="en-US"/>
        </w:rPr>
        <w:t xml:space="preserve">pressures in the home, vulnerability </w:t>
      </w:r>
      <w:r w:rsidR="00BE35C0">
        <w:rPr>
          <w:lang w:val="en-US"/>
        </w:rPr>
        <w:t>to maintaining financial independence</w:t>
      </w:r>
      <w:r w:rsidR="00341BDA">
        <w:rPr>
          <w:lang w:val="en-US"/>
        </w:rPr>
        <w:t>, difficulties accessing support,</w:t>
      </w:r>
      <w:r w:rsidR="00BE35C0">
        <w:rPr>
          <w:lang w:val="en-US"/>
        </w:rPr>
        <w:t xml:space="preserve"> and </w:t>
      </w:r>
      <w:r w:rsidR="00341BDA">
        <w:rPr>
          <w:lang w:val="en-US"/>
        </w:rPr>
        <w:t xml:space="preserve">increased </w:t>
      </w:r>
      <w:r w:rsidR="00341BDA">
        <w:rPr>
          <w:lang w:val="en-US"/>
        </w:rPr>
        <w:lastRenderedPageBreak/>
        <w:t xml:space="preserve">anxiety. </w:t>
      </w:r>
      <w:r w:rsidR="00E57775">
        <w:rPr>
          <w:lang w:val="en-US"/>
        </w:rPr>
        <w:t xml:space="preserve">Although a cost of living increase was supported and built into salary </w:t>
      </w:r>
      <w:r w:rsidR="0010247A">
        <w:rPr>
          <w:lang w:val="en-US"/>
        </w:rPr>
        <w:t xml:space="preserve">budget </w:t>
      </w:r>
      <w:r w:rsidR="00386BF5">
        <w:rPr>
          <w:lang w:val="en-US"/>
        </w:rPr>
        <w:t xml:space="preserve">lines </w:t>
      </w:r>
      <w:r w:rsidR="00E57775">
        <w:rPr>
          <w:lang w:val="en-US"/>
        </w:rPr>
        <w:t xml:space="preserve">as part of the DES application, this </w:t>
      </w:r>
      <w:r w:rsidR="00341BDA">
        <w:rPr>
          <w:lang w:val="en-US"/>
        </w:rPr>
        <w:t>is well below current inflation levels</w:t>
      </w:r>
      <w:r w:rsidR="00E10CF0">
        <w:rPr>
          <w:lang w:val="en-US"/>
        </w:rPr>
        <w:t>. Energy price increases</w:t>
      </w:r>
      <w:r w:rsidR="002B4114">
        <w:rPr>
          <w:lang w:val="en-US"/>
        </w:rPr>
        <w:t>,</w:t>
      </w:r>
      <w:r w:rsidR="00184AE0">
        <w:rPr>
          <w:lang w:val="en-US"/>
        </w:rPr>
        <w:t xml:space="preserve"> and high</w:t>
      </w:r>
      <w:r w:rsidR="002B4114">
        <w:rPr>
          <w:lang w:val="en-US"/>
        </w:rPr>
        <w:t xml:space="preserve"> fuel</w:t>
      </w:r>
      <w:r w:rsidR="00184AE0">
        <w:rPr>
          <w:lang w:val="en-US"/>
        </w:rPr>
        <w:t xml:space="preserve"> </w:t>
      </w:r>
      <w:r w:rsidR="002B4114">
        <w:rPr>
          <w:lang w:val="en-US"/>
        </w:rPr>
        <w:t xml:space="preserve">and </w:t>
      </w:r>
      <w:r w:rsidR="00184AE0">
        <w:rPr>
          <w:lang w:val="en-US"/>
        </w:rPr>
        <w:t>accommodation costs for outreach</w:t>
      </w:r>
      <w:r w:rsidR="00E10CF0">
        <w:rPr>
          <w:lang w:val="en-US"/>
        </w:rPr>
        <w:t xml:space="preserve"> </w:t>
      </w:r>
      <w:r w:rsidR="00184AE0">
        <w:rPr>
          <w:lang w:val="en-US"/>
        </w:rPr>
        <w:t xml:space="preserve">work, </w:t>
      </w:r>
      <w:r w:rsidR="00E10CF0">
        <w:rPr>
          <w:lang w:val="en-US"/>
        </w:rPr>
        <w:t xml:space="preserve">are </w:t>
      </w:r>
      <w:r w:rsidR="00184AE0">
        <w:rPr>
          <w:lang w:val="en-US"/>
        </w:rPr>
        <w:t>all</w:t>
      </w:r>
      <w:r w:rsidR="00E10CF0">
        <w:rPr>
          <w:lang w:val="en-US"/>
        </w:rPr>
        <w:t xml:space="preserve"> hitting small organisations that have very little buffer in terms of reserves. </w:t>
      </w:r>
    </w:p>
    <w:p w14:paraId="7C463F41" w14:textId="77777777" w:rsidR="009D54CE" w:rsidRDefault="009D54CE" w:rsidP="006C5AD7">
      <w:pPr>
        <w:pStyle w:val="Heading4"/>
        <w:rPr>
          <w:rFonts w:ascii="Arial" w:hAnsi="Arial" w:cs="Arial"/>
          <w:lang w:val="en-US"/>
        </w:rPr>
      </w:pPr>
      <w:r>
        <w:rPr>
          <w:rFonts w:ascii="Arial" w:hAnsi="Arial" w:cs="Arial"/>
          <w:lang w:val="en-US"/>
        </w:rPr>
        <w:t xml:space="preserve">Appetite for networking and collaboration </w:t>
      </w:r>
    </w:p>
    <w:p w14:paraId="00AB4FB5" w14:textId="6B01C49F" w:rsidR="00E10CF0" w:rsidRPr="00E10CF0" w:rsidRDefault="00E10CF0" w:rsidP="00E10CF0">
      <w:pPr>
        <w:rPr>
          <w:lang w:val="en-US"/>
        </w:rPr>
      </w:pPr>
      <w:r>
        <w:rPr>
          <w:lang w:val="en-US"/>
        </w:rPr>
        <w:t>The DES portfolio includes groups that are already very well networked and supported by strong national</w:t>
      </w:r>
      <w:r w:rsidR="00F70AD7">
        <w:rPr>
          <w:lang w:val="en-US"/>
        </w:rPr>
        <w:t xml:space="preserve">, local partnerships, </w:t>
      </w:r>
      <w:r>
        <w:rPr>
          <w:lang w:val="en-US"/>
        </w:rPr>
        <w:t xml:space="preserve">and intermediary bodies. </w:t>
      </w:r>
      <w:r w:rsidR="00BA23AC">
        <w:rPr>
          <w:lang w:val="en-US"/>
        </w:rPr>
        <w:t>There is however</w:t>
      </w:r>
      <w:r w:rsidR="007D2862">
        <w:rPr>
          <w:lang w:val="en-US"/>
        </w:rPr>
        <w:t>,</w:t>
      </w:r>
      <w:r w:rsidR="00BA23AC">
        <w:rPr>
          <w:lang w:val="en-US"/>
        </w:rPr>
        <w:t xml:space="preserve"> a real appetite for peer networking and learning opportunities and </w:t>
      </w:r>
      <w:r w:rsidR="004803EB">
        <w:rPr>
          <w:lang w:val="en-US"/>
        </w:rPr>
        <w:t>collaborating to improve service delivery. Inspiring Scotland capacity building and peer networking events have been very well attended</w:t>
      </w:r>
      <w:r w:rsidR="001F0FE9">
        <w:rPr>
          <w:lang w:val="en-US"/>
        </w:rPr>
        <w:t>. An example of cross portfolio collaboration is work to better</w:t>
      </w:r>
      <w:r w:rsidR="00035305">
        <w:rPr>
          <w:lang w:val="en-US"/>
        </w:rPr>
        <w:t xml:space="preserve"> understand </w:t>
      </w:r>
      <w:r w:rsidR="001F0FE9">
        <w:rPr>
          <w:lang w:val="en-US"/>
        </w:rPr>
        <w:t>the impact of gender based violence on people with learning disabilities and how services can learn from each other and develop best practice to ensure their services are accessible and meet the needs of</w:t>
      </w:r>
      <w:r w:rsidR="00955119">
        <w:rPr>
          <w:lang w:val="en-US"/>
        </w:rPr>
        <w:t xml:space="preserve"> learning disabled and neurodiverse communities.</w:t>
      </w:r>
      <w:r w:rsidR="001F0FE9">
        <w:rPr>
          <w:lang w:val="en-US"/>
        </w:rPr>
        <w:t xml:space="preserve"> </w:t>
      </w:r>
    </w:p>
    <w:p w14:paraId="13945CC3" w14:textId="2DF5ABE8" w:rsidR="001345E5" w:rsidRDefault="006C5AD7" w:rsidP="006C5AD7">
      <w:pPr>
        <w:pStyle w:val="Heading4"/>
        <w:rPr>
          <w:rFonts w:ascii="Arial" w:hAnsi="Arial" w:cs="Arial"/>
          <w:lang w:val="en-US"/>
        </w:rPr>
      </w:pPr>
      <w:r w:rsidRPr="00470844">
        <w:rPr>
          <w:rFonts w:ascii="Arial" w:hAnsi="Arial" w:cs="Arial"/>
          <w:lang w:val="en-US"/>
        </w:rPr>
        <w:t xml:space="preserve">The voluntary sector </w:t>
      </w:r>
      <w:r w:rsidR="00BB0245" w:rsidRPr="00470844">
        <w:rPr>
          <w:rFonts w:ascii="Arial" w:hAnsi="Arial" w:cs="Arial"/>
          <w:lang w:val="en-US"/>
        </w:rPr>
        <w:t xml:space="preserve">are able to leverage additional funding </w:t>
      </w:r>
    </w:p>
    <w:p w14:paraId="50446F95" w14:textId="3C9287C5" w:rsidR="009D54CE" w:rsidRDefault="00F22805" w:rsidP="009D54CE">
      <w:pPr>
        <w:rPr>
          <w:lang w:val="en-US"/>
        </w:rPr>
      </w:pPr>
      <w:r>
        <w:rPr>
          <w:lang w:val="en-US"/>
        </w:rPr>
        <w:t xml:space="preserve">Funded groups have had mixed success rates securing match funding. </w:t>
      </w:r>
      <w:r w:rsidR="00333AAC">
        <w:rPr>
          <w:lang w:val="en-US"/>
        </w:rPr>
        <w:t>T</w:t>
      </w:r>
      <w:r>
        <w:rPr>
          <w:lang w:val="en-US"/>
        </w:rPr>
        <w:t xml:space="preserve">here are </w:t>
      </w:r>
      <w:r w:rsidR="004E51A7">
        <w:rPr>
          <w:lang w:val="en-US"/>
        </w:rPr>
        <w:t>a number who</w:t>
      </w:r>
      <w:r>
        <w:rPr>
          <w:lang w:val="en-US"/>
        </w:rPr>
        <w:t xml:space="preserve"> have </w:t>
      </w:r>
      <w:r w:rsidR="00135AD0">
        <w:rPr>
          <w:lang w:val="en-US"/>
        </w:rPr>
        <w:t>secur</w:t>
      </w:r>
      <w:r>
        <w:rPr>
          <w:lang w:val="en-US"/>
        </w:rPr>
        <w:t>ed</w:t>
      </w:r>
      <w:r w:rsidR="00135AD0">
        <w:rPr>
          <w:lang w:val="en-US"/>
        </w:rPr>
        <w:t xml:space="preserve"> additional funding</w:t>
      </w:r>
      <w:r w:rsidR="00417878">
        <w:rPr>
          <w:lang w:val="en-US"/>
        </w:rPr>
        <w:t xml:space="preserve"> </w:t>
      </w:r>
      <w:r w:rsidR="009728A8">
        <w:rPr>
          <w:lang w:val="en-US"/>
        </w:rPr>
        <w:t xml:space="preserve">from the National Lottery Community Fund, and Tampon Tax funding, </w:t>
      </w:r>
      <w:r w:rsidR="00417878">
        <w:rPr>
          <w:lang w:val="en-US"/>
        </w:rPr>
        <w:t>and</w:t>
      </w:r>
      <w:r w:rsidR="00C35ED3">
        <w:rPr>
          <w:lang w:val="en-US"/>
        </w:rPr>
        <w:t xml:space="preserve"> examples of DES funding supporting groups to secure other smaller pockets of funding. </w:t>
      </w:r>
      <w:r w:rsidR="0090273C">
        <w:rPr>
          <w:lang w:val="en-US"/>
        </w:rPr>
        <w:t>These organisations have needed clear and timely communication from DES on</w:t>
      </w:r>
      <w:r w:rsidR="00333AAC">
        <w:rPr>
          <w:lang w:val="en-US"/>
        </w:rPr>
        <w:t xml:space="preserve"> funding amounts and flexibility around what to approach other funders for.</w:t>
      </w:r>
      <w:r w:rsidR="00013E86">
        <w:rPr>
          <w:lang w:val="en-US"/>
        </w:rPr>
        <w:t xml:space="preserve"> </w:t>
      </w:r>
      <w:r w:rsidR="00080E18">
        <w:rPr>
          <w:lang w:val="en-US"/>
        </w:rPr>
        <w:t xml:space="preserve">The </w:t>
      </w:r>
      <w:r w:rsidR="00AD79A1">
        <w:rPr>
          <w:lang w:val="en-US"/>
        </w:rPr>
        <w:t xml:space="preserve">voluntary </w:t>
      </w:r>
      <w:r w:rsidR="00080E18">
        <w:rPr>
          <w:lang w:val="en-US"/>
        </w:rPr>
        <w:t xml:space="preserve">sector </w:t>
      </w:r>
      <w:r w:rsidR="00AD79A1">
        <w:rPr>
          <w:lang w:val="en-US"/>
        </w:rPr>
        <w:t xml:space="preserve">within DES </w:t>
      </w:r>
      <w:r w:rsidR="00080E18">
        <w:rPr>
          <w:lang w:val="en-US"/>
        </w:rPr>
        <w:t>is heavily reliant on state funding, however i</w:t>
      </w:r>
      <w:r w:rsidR="00013E86">
        <w:rPr>
          <w:lang w:val="en-US"/>
        </w:rPr>
        <w:t>nvestment in</w:t>
      </w:r>
      <w:r w:rsidR="00705155">
        <w:rPr>
          <w:lang w:val="en-US"/>
        </w:rPr>
        <w:t xml:space="preserve"> voluntary</w:t>
      </w:r>
      <w:r w:rsidR="00013E86">
        <w:rPr>
          <w:lang w:val="en-US"/>
        </w:rPr>
        <w:t xml:space="preserve"> sector services ca</w:t>
      </w:r>
      <w:r w:rsidR="00080E18">
        <w:rPr>
          <w:lang w:val="en-US"/>
        </w:rPr>
        <w:t>n</w:t>
      </w:r>
      <w:r w:rsidR="008A6AEC">
        <w:rPr>
          <w:lang w:val="en-US"/>
        </w:rPr>
        <w:t>,</w:t>
      </w:r>
      <w:r w:rsidR="00080E18">
        <w:rPr>
          <w:lang w:val="en-US"/>
        </w:rPr>
        <w:t xml:space="preserve"> in many instances</w:t>
      </w:r>
      <w:r w:rsidR="008A6AEC">
        <w:rPr>
          <w:lang w:val="en-US"/>
        </w:rPr>
        <w:t>,</w:t>
      </w:r>
      <w:r w:rsidR="00080E18">
        <w:rPr>
          <w:lang w:val="en-US"/>
        </w:rPr>
        <w:t xml:space="preserve"> be </w:t>
      </w:r>
      <w:r w:rsidR="004B7F27">
        <w:rPr>
          <w:lang w:val="en-US"/>
        </w:rPr>
        <w:t xml:space="preserve">amplified by </w:t>
      </w:r>
      <w:r w:rsidR="008B7098">
        <w:rPr>
          <w:lang w:val="en-US"/>
        </w:rPr>
        <w:t xml:space="preserve">additional funding that they are able to source. </w:t>
      </w:r>
      <w:r w:rsidR="003B03D5">
        <w:rPr>
          <w:lang w:val="en-US"/>
        </w:rPr>
        <w:t>Managing m</w:t>
      </w:r>
      <w:r w:rsidR="008B7098">
        <w:rPr>
          <w:lang w:val="en-US"/>
        </w:rPr>
        <w:t xml:space="preserve">ultiple sources of funding </w:t>
      </w:r>
      <w:r w:rsidR="003B03D5">
        <w:rPr>
          <w:lang w:val="en-US"/>
        </w:rPr>
        <w:t xml:space="preserve">continues to be a significant administrative burden for smaller organisations who may </w:t>
      </w:r>
      <w:r w:rsidR="00175CFB">
        <w:rPr>
          <w:lang w:val="en-US"/>
        </w:rPr>
        <w:t xml:space="preserve">have very stretched or non-existent core support. </w:t>
      </w:r>
    </w:p>
    <w:p w14:paraId="0CA8D805" w14:textId="6BC58E62" w:rsidR="009D54CE" w:rsidRPr="00175CFB" w:rsidRDefault="009D54CE" w:rsidP="009D54CE">
      <w:pPr>
        <w:pStyle w:val="Heading4"/>
        <w:rPr>
          <w:rFonts w:ascii="Arial" w:hAnsi="Arial" w:cs="Arial"/>
          <w:lang w:val="en-US"/>
        </w:rPr>
      </w:pPr>
      <w:r w:rsidRPr="00175CFB">
        <w:rPr>
          <w:rFonts w:ascii="Arial" w:hAnsi="Arial" w:cs="Arial"/>
          <w:lang w:val="en-US"/>
        </w:rPr>
        <w:t xml:space="preserve">Positive response to the DES extension </w:t>
      </w:r>
    </w:p>
    <w:p w14:paraId="2B7761CE" w14:textId="4C90205E" w:rsidR="00470844" w:rsidRDefault="008553C9" w:rsidP="00470844">
      <w:pPr>
        <w:rPr>
          <w:lang w:val="en-US"/>
        </w:rPr>
      </w:pPr>
      <w:r>
        <w:rPr>
          <w:lang w:val="en-US"/>
        </w:rPr>
        <w:t>There has been a positive response to the announcement that Delivering Equally Safe will be extended to March 2025. There have</w:t>
      </w:r>
      <w:r w:rsidR="00F27087">
        <w:rPr>
          <w:lang w:val="en-US"/>
        </w:rPr>
        <w:t xml:space="preserve"> </w:t>
      </w:r>
      <w:r>
        <w:rPr>
          <w:lang w:val="en-US"/>
        </w:rPr>
        <w:t xml:space="preserve">been questions </w:t>
      </w:r>
      <w:r w:rsidR="00705155">
        <w:rPr>
          <w:lang w:val="en-US"/>
        </w:rPr>
        <w:t xml:space="preserve">and concerns raised about </w:t>
      </w:r>
      <w:r w:rsidR="00F27087">
        <w:rPr>
          <w:lang w:val="en-US"/>
        </w:rPr>
        <w:t xml:space="preserve">uncertainty of the </w:t>
      </w:r>
      <w:r>
        <w:rPr>
          <w:lang w:val="en-US"/>
        </w:rPr>
        <w:t>levels of funding</w:t>
      </w:r>
      <w:r w:rsidR="00F27087">
        <w:rPr>
          <w:lang w:val="en-US"/>
        </w:rPr>
        <w:t xml:space="preserve"> beyond Sept 2023</w:t>
      </w:r>
      <w:r>
        <w:rPr>
          <w:lang w:val="en-US"/>
        </w:rPr>
        <w:t>, bu</w:t>
      </w:r>
      <w:r w:rsidR="004966E6">
        <w:rPr>
          <w:lang w:val="en-US"/>
        </w:rPr>
        <w:t>,</w:t>
      </w:r>
      <w:r>
        <w:rPr>
          <w:lang w:val="en-US"/>
        </w:rPr>
        <w:t xml:space="preserve">t in the main, organisations </w:t>
      </w:r>
      <w:r w:rsidR="00C64B16">
        <w:rPr>
          <w:lang w:val="en-US"/>
        </w:rPr>
        <w:t xml:space="preserve">are appreciative that the current funding horizon </w:t>
      </w:r>
      <w:r w:rsidR="00B8130D">
        <w:rPr>
          <w:lang w:val="en-US"/>
        </w:rPr>
        <w:t xml:space="preserve">has been extended to give time to review and reflect on the findings of the review. </w:t>
      </w:r>
      <w:r w:rsidR="00D12561">
        <w:rPr>
          <w:lang w:val="en-US"/>
        </w:rPr>
        <w:t xml:space="preserve">Some organisations have expressed verbally that difficulties recruiting could have been avoided if the fund length had not been shortened in the first instance. </w:t>
      </w:r>
    </w:p>
    <w:p w14:paraId="3DF5B4BF" w14:textId="0BF3FC73" w:rsidR="00BC35CB" w:rsidRDefault="000116C6" w:rsidP="00BC35CB">
      <w:pPr>
        <w:pStyle w:val="Heading2"/>
      </w:pPr>
      <w:bookmarkStart w:id="12" w:name="_Toc106120903"/>
      <w:r>
        <w:t>Inspiring Scotland team – concluding comments</w:t>
      </w:r>
      <w:bookmarkEnd w:id="12"/>
      <w:r>
        <w:t xml:space="preserve"> </w:t>
      </w:r>
    </w:p>
    <w:p w14:paraId="4546F779" w14:textId="45EF212B" w:rsidR="00202846" w:rsidRDefault="000116C6" w:rsidP="000116C6">
      <w:pPr>
        <w:rPr>
          <w:lang w:val="en-US"/>
        </w:rPr>
      </w:pPr>
      <w:r>
        <w:rPr>
          <w:lang w:val="en-US"/>
        </w:rPr>
        <w:t xml:space="preserve">The Delivering Equally Safe team at Inspiring Scotland welcome this opportunity to present to the </w:t>
      </w:r>
      <w:r w:rsidR="00C044CE">
        <w:rPr>
          <w:lang w:val="en-US"/>
        </w:rPr>
        <w:t>Advisory Group</w:t>
      </w:r>
      <w:r w:rsidR="00202846">
        <w:rPr>
          <w:lang w:val="en-US"/>
        </w:rPr>
        <w:t xml:space="preserve"> and look forward to discussions on the 22</w:t>
      </w:r>
      <w:r w:rsidR="00202846" w:rsidRPr="00202846">
        <w:rPr>
          <w:vertAlign w:val="superscript"/>
          <w:lang w:val="en-US"/>
        </w:rPr>
        <w:t>nd</w:t>
      </w:r>
      <w:r w:rsidR="00202846">
        <w:rPr>
          <w:lang w:val="en-US"/>
        </w:rPr>
        <w:t xml:space="preserve"> June and beyond. </w:t>
      </w:r>
    </w:p>
    <w:p w14:paraId="6C32F39F" w14:textId="4D1F2DBB" w:rsidR="000116C6" w:rsidRDefault="00BE2CF5" w:rsidP="000116C6">
      <w:pPr>
        <w:rPr>
          <w:lang w:val="en-US"/>
        </w:rPr>
      </w:pPr>
      <w:r>
        <w:rPr>
          <w:lang w:val="en-US"/>
        </w:rPr>
        <w:t xml:space="preserve">Contact details for the </w:t>
      </w:r>
      <w:r w:rsidR="0009346E">
        <w:rPr>
          <w:lang w:val="en-US"/>
        </w:rPr>
        <w:t>full team</w:t>
      </w:r>
      <w:r>
        <w:rPr>
          <w:lang w:val="en-US"/>
        </w:rPr>
        <w:t xml:space="preserve"> are below: </w:t>
      </w:r>
    </w:p>
    <w:tbl>
      <w:tblPr>
        <w:tblStyle w:val="TableGrid"/>
        <w:tblW w:w="0" w:type="auto"/>
        <w:tblLook w:val="04A0" w:firstRow="1" w:lastRow="0" w:firstColumn="1" w:lastColumn="0" w:noHBand="0" w:noVBand="1"/>
      </w:tblPr>
      <w:tblGrid>
        <w:gridCol w:w="1668"/>
        <w:gridCol w:w="3059"/>
        <w:gridCol w:w="4289"/>
      </w:tblGrid>
      <w:tr w:rsidR="00D12561" w14:paraId="5D1B2939" w14:textId="77777777" w:rsidTr="006A1DC6">
        <w:tc>
          <w:tcPr>
            <w:tcW w:w="9016" w:type="dxa"/>
            <w:gridSpan w:val="3"/>
          </w:tcPr>
          <w:p w14:paraId="4B46258B" w14:textId="52619E93" w:rsidR="00D12561" w:rsidRPr="0009346E" w:rsidRDefault="001E41EC" w:rsidP="0009346E">
            <w:pPr>
              <w:spacing w:after="120"/>
              <w:rPr>
                <w:szCs w:val="24"/>
              </w:rPr>
            </w:pPr>
            <w:hyperlink r:id="rId18" w:history="1">
              <w:r w:rsidR="002A22F2" w:rsidRPr="0009346E">
                <w:rPr>
                  <w:rStyle w:val="Hyperlink"/>
                  <w:szCs w:val="24"/>
                </w:rPr>
                <w:t>DESenquiries@inspiringscotland.org.uk</w:t>
              </w:r>
            </w:hyperlink>
            <w:r w:rsidR="002A22F2" w:rsidRPr="0009346E">
              <w:rPr>
                <w:szCs w:val="24"/>
              </w:rPr>
              <w:t xml:space="preserve"> </w:t>
            </w:r>
            <w:r w:rsidR="0009346E">
              <w:rPr>
                <w:szCs w:val="24"/>
              </w:rPr>
              <w:t>@D</w:t>
            </w:r>
            <w:r w:rsidR="0044789F">
              <w:rPr>
                <w:szCs w:val="24"/>
              </w:rPr>
              <w:t>esFund</w:t>
            </w:r>
          </w:p>
        </w:tc>
      </w:tr>
      <w:tr w:rsidR="00953293" w14:paraId="36741FFB" w14:textId="77777777" w:rsidTr="00D12561">
        <w:tc>
          <w:tcPr>
            <w:tcW w:w="1825" w:type="dxa"/>
          </w:tcPr>
          <w:p w14:paraId="10988D50" w14:textId="553841E7" w:rsidR="00953293" w:rsidRPr="0009346E" w:rsidRDefault="00953293" w:rsidP="007A2015">
            <w:pPr>
              <w:rPr>
                <w:szCs w:val="24"/>
                <w:lang w:val="en-US"/>
              </w:rPr>
            </w:pPr>
            <w:r w:rsidRPr="0009346E">
              <w:rPr>
                <w:szCs w:val="24"/>
                <w:lang w:val="en-US"/>
              </w:rPr>
              <w:t xml:space="preserve">Allison Crawford </w:t>
            </w:r>
          </w:p>
        </w:tc>
        <w:tc>
          <w:tcPr>
            <w:tcW w:w="3581" w:type="dxa"/>
          </w:tcPr>
          <w:p w14:paraId="6A854435" w14:textId="77777777" w:rsidR="00953293" w:rsidRPr="0009346E" w:rsidRDefault="00953293" w:rsidP="007A2015">
            <w:pPr>
              <w:rPr>
                <w:szCs w:val="24"/>
                <w:lang w:val="en-US"/>
              </w:rPr>
            </w:pPr>
            <w:r w:rsidRPr="0009346E">
              <w:rPr>
                <w:szCs w:val="24"/>
                <w:lang w:val="en-US"/>
              </w:rPr>
              <w:t>DES Programme Manager</w:t>
            </w:r>
          </w:p>
          <w:p w14:paraId="4771F1EE" w14:textId="3A4F32CE" w:rsidR="000A21A0" w:rsidRPr="0009346E" w:rsidRDefault="000A21A0" w:rsidP="007A2015">
            <w:pPr>
              <w:rPr>
                <w:i/>
                <w:iCs/>
                <w:szCs w:val="24"/>
                <w:lang w:val="en-US"/>
              </w:rPr>
            </w:pPr>
            <w:r w:rsidRPr="0009346E">
              <w:rPr>
                <w:i/>
                <w:iCs/>
                <w:szCs w:val="24"/>
                <w:lang w:val="en-US"/>
              </w:rPr>
              <w:lastRenderedPageBreak/>
              <w:t>National organisations and prevention</w:t>
            </w:r>
          </w:p>
        </w:tc>
        <w:tc>
          <w:tcPr>
            <w:tcW w:w="3610" w:type="dxa"/>
          </w:tcPr>
          <w:p w14:paraId="795B1651" w14:textId="34D5FB2E" w:rsidR="00953293" w:rsidRPr="0009346E" w:rsidRDefault="001E41EC" w:rsidP="007A2015">
            <w:pPr>
              <w:rPr>
                <w:szCs w:val="24"/>
                <w:lang w:val="en-US"/>
              </w:rPr>
            </w:pPr>
            <w:hyperlink r:id="rId19" w:history="1">
              <w:r w:rsidR="000A21A0" w:rsidRPr="0009346E">
                <w:rPr>
                  <w:rStyle w:val="Hyperlink"/>
                  <w:szCs w:val="24"/>
                  <w:lang w:val="en-US"/>
                </w:rPr>
                <w:t>allison@inspiringscotland.org.uk</w:t>
              </w:r>
            </w:hyperlink>
          </w:p>
        </w:tc>
      </w:tr>
      <w:tr w:rsidR="000A21A0" w14:paraId="17C8D94B" w14:textId="77777777" w:rsidTr="00D12561">
        <w:tc>
          <w:tcPr>
            <w:tcW w:w="1825" w:type="dxa"/>
          </w:tcPr>
          <w:p w14:paraId="71303648" w14:textId="422F526C" w:rsidR="000A21A0" w:rsidRPr="0009346E" w:rsidRDefault="000A21A0" w:rsidP="000116C6">
            <w:pPr>
              <w:rPr>
                <w:szCs w:val="24"/>
                <w:lang w:val="en-US"/>
              </w:rPr>
            </w:pPr>
            <w:r w:rsidRPr="0009346E">
              <w:rPr>
                <w:szCs w:val="24"/>
                <w:lang w:val="en-US"/>
              </w:rPr>
              <w:t>Monika Sharma</w:t>
            </w:r>
          </w:p>
        </w:tc>
        <w:tc>
          <w:tcPr>
            <w:tcW w:w="3581" w:type="dxa"/>
          </w:tcPr>
          <w:p w14:paraId="57B0D5F5" w14:textId="77777777" w:rsidR="000A21A0" w:rsidRPr="0009346E" w:rsidRDefault="000A21A0" w:rsidP="000116C6">
            <w:pPr>
              <w:rPr>
                <w:szCs w:val="24"/>
                <w:lang w:val="en-US"/>
              </w:rPr>
            </w:pPr>
            <w:r w:rsidRPr="0009346E">
              <w:rPr>
                <w:szCs w:val="24"/>
                <w:lang w:val="en-US"/>
              </w:rPr>
              <w:t>Performance and Impact Advisor</w:t>
            </w:r>
          </w:p>
          <w:p w14:paraId="619F62AA" w14:textId="156253B9" w:rsidR="00032BAC" w:rsidRPr="0009346E" w:rsidRDefault="00032BAC" w:rsidP="000116C6">
            <w:pPr>
              <w:rPr>
                <w:i/>
                <w:iCs/>
                <w:szCs w:val="24"/>
                <w:lang w:val="en-US"/>
              </w:rPr>
            </w:pPr>
            <w:r w:rsidRPr="0009346E">
              <w:rPr>
                <w:i/>
                <w:iCs/>
                <w:szCs w:val="24"/>
                <w:lang w:val="en-US"/>
              </w:rPr>
              <w:t xml:space="preserve">Domestic Abuse and </w:t>
            </w:r>
            <w:r w:rsidR="007A2015" w:rsidRPr="0009346E">
              <w:rPr>
                <w:i/>
                <w:iCs/>
                <w:szCs w:val="24"/>
                <w:lang w:val="en-US"/>
              </w:rPr>
              <w:t>Honor</w:t>
            </w:r>
            <w:r w:rsidRPr="0009346E">
              <w:rPr>
                <w:i/>
                <w:iCs/>
                <w:szCs w:val="24"/>
                <w:lang w:val="en-US"/>
              </w:rPr>
              <w:t xml:space="preserve"> based abuse</w:t>
            </w:r>
          </w:p>
        </w:tc>
        <w:tc>
          <w:tcPr>
            <w:tcW w:w="3610" w:type="dxa"/>
          </w:tcPr>
          <w:p w14:paraId="3A98ED00" w14:textId="0738041E" w:rsidR="000A21A0" w:rsidRPr="0009346E" w:rsidRDefault="00032BAC" w:rsidP="000116C6">
            <w:pPr>
              <w:rPr>
                <w:szCs w:val="24"/>
                <w:lang w:val="en-US"/>
              </w:rPr>
            </w:pPr>
            <w:r w:rsidRPr="0009346E">
              <w:rPr>
                <w:szCs w:val="24"/>
                <w:lang w:val="en-US"/>
              </w:rPr>
              <w:t>monika@inspiringscotland.org.uk</w:t>
            </w:r>
          </w:p>
        </w:tc>
      </w:tr>
      <w:tr w:rsidR="00032BAC" w14:paraId="3363EA3D" w14:textId="77777777" w:rsidTr="00D12561">
        <w:tc>
          <w:tcPr>
            <w:tcW w:w="1825" w:type="dxa"/>
          </w:tcPr>
          <w:p w14:paraId="4B05DCBB" w14:textId="243BB4B0" w:rsidR="00032BAC" w:rsidRPr="0009346E" w:rsidRDefault="007A2015" w:rsidP="000116C6">
            <w:pPr>
              <w:rPr>
                <w:szCs w:val="24"/>
                <w:lang w:val="en-US"/>
              </w:rPr>
            </w:pPr>
            <w:r w:rsidRPr="0009346E">
              <w:rPr>
                <w:szCs w:val="24"/>
                <w:lang w:val="en-US"/>
              </w:rPr>
              <w:t>Laura Anderson</w:t>
            </w:r>
          </w:p>
        </w:tc>
        <w:tc>
          <w:tcPr>
            <w:tcW w:w="3581" w:type="dxa"/>
          </w:tcPr>
          <w:p w14:paraId="5C6BB21C" w14:textId="77777777" w:rsidR="00032BAC" w:rsidRPr="0009346E" w:rsidRDefault="007A2015" w:rsidP="000116C6">
            <w:pPr>
              <w:rPr>
                <w:szCs w:val="24"/>
                <w:lang w:val="en-US"/>
              </w:rPr>
            </w:pPr>
            <w:r w:rsidRPr="0009346E">
              <w:rPr>
                <w:szCs w:val="24"/>
                <w:lang w:val="en-US"/>
              </w:rPr>
              <w:t xml:space="preserve">Performance and Impact Advisor </w:t>
            </w:r>
          </w:p>
          <w:p w14:paraId="3AF1C2EF" w14:textId="6E16FE0E" w:rsidR="007A2015" w:rsidRPr="0009346E" w:rsidRDefault="007A2015" w:rsidP="000116C6">
            <w:pPr>
              <w:rPr>
                <w:i/>
                <w:iCs/>
                <w:szCs w:val="24"/>
                <w:lang w:val="en-US"/>
              </w:rPr>
            </w:pPr>
            <w:r w:rsidRPr="0009346E">
              <w:rPr>
                <w:i/>
                <w:iCs/>
                <w:szCs w:val="24"/>
                <w:lang w:val="en-US"/>
              </w:rPr>
              <w:t>Local Authority projects and Safe and Together</w:t>
            </w:r>
          </w:p>
        </w:tc>
        <w:tc>
          <w:tcPr>
            <w:tcW w:w="3610" w:type="dxa"/>
          </w:tcPr>
          <w:p w14:paraId="67D00BDC" w14:textId="229BECDA" w:rsidR="00032BAC" w:rsidRPr="0009346E" w:rsidRDefault="001E41EC" w:rsidP="000116C6">
            <w:pPr>
              <w:rPr>
                <w:szCs w:val="24"/>
                <w:lang w:val="en-US"/>
              </w:rPr>
            </w:pPr>
            <w:hyperlink r:id="rId20" w:history="1">
              <w:r w:rsidR="007A2015" w:rsidRPr="0009346E">
                <w:rPr>
                  <w:rStyle w:val="Hyperlink"/>
                  <w:szCs w:val="24"/>
                  <w:lang w:val="en-US"/>
                </w:rPr>
                <w:t>laura@inspiringscotland.org.uk</w:t>
              </w:r>
            </w:hyperlink>
          </w:p>
        </w:tc>
      </w:tr>
      <w:tr w:rsidR="007A2015" w14:paraId="6EF586E0" w14:textId="77777777" w:rsidTr="00D12561">
        <w:tc>
          <w:tcPr>
            <w:tcW w:w="1825" w:type="dxa"/>
          </w:tcPr>
          <w:p w14:paraId="6232D000" w14:textId="44AC03CC" w:rsidR="007A2015" w:rsidRPr="0009346E" w:rsidRDefault="007A2015" w:rsidP="000116C6">
            <w:pPr>
              <w:rPr>
                <w:szCs w:val="24"/>
                <w:lang w:val="en-US"/>
              </w:rPr>
            </w:pPr>
            <w:r w:rsidRPr="0009346E">
              <w:rPr>
                <w:szCs w:val="24"/>
                <w:lang w:val="en-US"/>
              </w:rPr>
              <w:t>Norma Norris</w:t>
            </w:r>
          </w:p>
        </w:tc>
        <w:tc>
          <w:tcPr>
            <w:tcW w:w="3581" w:type="dxa"/>
          </w:tcPr>
          <w:p w14:paraId="10269748" w14:textId="77777777" w:rsidR="007A2015" w:rsidRPr="0009346E" w:rsidRDefault="007A2015" w:rsidP="007A2015">
            <w:pPr>
              <w:rPr>
                <w:szCs w:val="24"/>
                <w:lang w:val="en-US"/>
              </w:rPr>
            </w:pPr>
            <w:r w:rsidRPr="0009346E">
              <w:rPr>
                <w:szCs w:val="24"/>
                <w:lang w:val="en-US"/>
              </w:rPr>
              <w:t>Performance and Impact Advisor</w:t>
            </w:r>
          </w:p>
          <w:p w14:paraId="526276BA" w14:textId="3F925621" w:rsidR="007A2015" w:rsidRPr="0009346E" w:rsidRDefault="007A2015" w:rsidP="000116C6">
            <w:pPr>
              <w:rPr>
                <w:i/>
                <w:iCs/>
                <w:szCs w:val="24"/>
                <w:lang w:val="en-US"/>
              </w:rPr>
            </w:pPr>
            <w:r w:rsidRPr="0009346E">
              <w:rPr>
                <w:i/>
                <w:iCs/>
                <w:szCs w:val="24"/>
                <w:lang w:val="en-US"/>
              </w:rPr>
              <w:t>Sexual Assault and Children and Young people projects</w:t>
            </w:r>
          </w:p>
        </w:tc>
        <w:tc>
          <w:tcPr>
            <w:tcW w:w="3610" w:type="dxa"/>
          </w:tcPr>
          <w:p w14:paraId="26719889" w14:textId="4EFF755D" w:rsidR="007A2015" w:rsidRPr="0009346E" w:rsidRDefault="001E41EC" w:rsidP="000116C6">
            <w:pPr>
              <w:rPr>
                <w:szCs w:val="24"/>
                <w:lang w:val="en-US"/>
              </w:rPr>
            </w:pPr>
            <w:hyperlink r:id="rId21" w:history="1">
              <w:r w:rsidR="007A2015" w:rsidRPr="0009346E">
                <w:rPr>
                  <w:rStyle w:val="Hyperlink"/>
                  <w:szCs w:val="24"/>
                  <w:lang w:val="en-US"/>
                </w:rPr>
                <w:t>norma@inspiringscotland.org.uk</w:t>
              </w:r>
            </w:hyperlink>
          </w:p>
        </w:tc>
      </w:tr>
      <w:tr w:rsidR="007A2015" w14:paraId="4A799228" w14:textId="77777777" w:rsidTr="00D12561">
        <w:tc>
          <w:tcPr>
            <w:tcW w:w="1825" w:type="dxa"/>
          </w:tcPr>
          <w:p w14:paraId="3EF31E20" w14:textId="445A3DB7" w:rsidR="007A2015" w:rsidRPr="0009346E" w:rsidRDefault="007A2015" w:rsidP="000116C6">
            <w:pPr>
              <w:rPr>
                <w:szCs w:val="24"/>
                <w:lang w:val="en-US"/>
              </w:rPr>
            </w:pPr>
            <w:r w:rsidRPr="0009346E">
              <w:rPr>
                <w:szCs w:val="24"/>
                <w:lang w:val="en-US"/>
              </w:rPr>
              <w:t>Amy McLaren</w:t>
            </w:r>
          </w:p>
        </w:tc>
        <w:tc>
          <w:tcPr>
            <w:tcW w:w="3581" w:type="dxa"/>
          </w:tcPr>
          <w:p w14:paraId="3DFC05BD" w14:textId="77777777" w:rsidR="007A2015" w:rsidRPr="0009346E" w:rsidRDefault="007A2015" w:rsidP="007A2015">
            <w:pPr>
              <w:rPr>
                <w:szCs w:val="24"/>
                <w:lang w:val="en-US"/>
              </w:rPr>
            </w:pPr>
            <w:r w:rsidRPr="0009346E">
              <w:rPr>
                <w:szCs w:val="24"/>
                <w:lang w:val="en-US"/>
              </w:rPr>
              <w:t>Performance and Impact Advisor</w:t>
            </w:r>
          </w:p>
          <w:p w14:paraId="0FD797E8" w14:textId="56F45B6A" w:rsidR="007A2015" w:rsidRPr="0009346E" w:rsidRDefault="00C54C85" w:rsidP="007A2015">
            <w:pPr>
              <w:rPr>
                <w:i/>
                <w:iCs/>
                <w:szCs w:val="24"/>
                <w:lang w:val="en-US"/>
              </w:rPr>
            </w:pPr>
            <w:r w:rsidRPr="0009346E">
              <w:rPr>
                <w:i/>
                <w:iCs/>
                <w:szCs w:val="24"/>
                <w:lang w:val="en-US"/>
              </w:rPr>
              <w:t>Projects with a targeted focus and commercial sexual exploitation</w:t>
            </w:r>
          </w:p>
        </w:tc>
        <w:tc>
          <w:tcPr>
            <w:tcW w:w="3610" w:type="dxa"/>
          </w:tcPr>
          <w:p w14:paraId="5CEB506F" w14:textId="10A3817E" w:rsidR="007A2015" w:rsidRPr="0009346E" w:rsidRDefault="001E41EC" w:rsidP="000116C6">
            <w:pPr>
              <w:rPr>
                <w:szCs w:val="24"/>
                <w:lang w:val="en-US"/>
              </w:rPr>
            </w:pPr>
            <w:hyperlink r:id="rId22" w:history="1">
              <w:r w:rsidR="00516283" w:rsidRPr="0009346E">
                <w:rPr>
                  <w:rStyle w:val="Hyperlink"/>
                  <w:szCs w:val="24"/>
                  <w:lang w:val="en-US"/>
                </w:rPr>
                <w:t>amymclaren@inspiringscotland.org.uk</w:t>
              </w:r>
            </w:hyperlink>
          </w:p>
        </w:tc>
      </w:tr>
      <w:tr w:rsidR="00516283" w14:paraId="3DFDD067" w14:textId="77777777" w:rsidTr="00D12561">
        <w:tc>
          <w:tcPr>
            <w:tcW w:w="1825" w:type="dxa"/>
          </w:tcPr>
          <w:p w14:paraId="7DF14D4C" w14:textId="7FB111D5" w:rsidR="00516283" w:rsidRPr="0009346E" w:rsidRDefault="00516283" w:rsidP="000116C6">
            <w:pPr>
              <w:rPr>
                <w:szCs w:val="24"/>
                <w:lang w:val="en-US"/>
              </w:rPr>
            </w:pPr>
            <w:r w:rsidRPr="0009346E">
              <w:rPr>
                <w:szCs w:val="24"/>
                <w:lang w:val="en-US"/>
              </w:rPr>
              <w:t>Irene Glasgow</w:t>
            </w:r>
          </w:p>
        </w:tc>
        <w:tc>
          <w:tcPr>
            <w:tcW w:w="3581" w:type="dxa"/>
          </w:tcPr>
          <w:p w14:paraId="39D115E2" w14:textId="77777777" w:rsidR="00516283" w:rsidRPr="0009346E" w:rsidRDefault="00516283" w:rsidP="007A2015">
            <w:pPr>
              <w:rPr>
                <w:szCs w:val="24"/>
                <w:lang w:val="en-US"/>
              </w:rPr>
            </w:pPr>
            <w:r w:rsidRPr="0009346E">
              <w:rPr>
                <w:szCs w:val="24"/>
                <w:lang w:val="en-US"/>
              </w:rPr>
              <w:t xml:space="preserve">Fund Support Officer </w:t>
            </w:r>
          </w:p>
          <w:p w14:paraId="2D2F620F" w14:textId="0FB062E6" w:rsidR="00516283" w:rsidRPr="0009346E" w:rsidRDefault="00516283" w:rsidP="007A2015">
            <w:pPr>
              <w:rPr>
                <w:i/>
                <w:iCs/>
                <w:szCs w:val="24"/>
                <w:lang w:val="en-US"/>
              </w:rPr>
            </w:pPr>
            <w:r w:rsidRPr="0009346E">
              <w:rPr>
                <w:i/>
                <w:iCs/>
                <w:szCs w:val="24"/>
                <w:lang w:val="en-US"/>
              </w:rPr>
              <w:t>Payments, expenditure, database management</w:t>
            </w:r>
          </w:p>
        </w:tc>
        <w:tc>
          <w:tcPr>
            <w:tcW w:w="3610" w:type="dxa"/>
          </w:tcPr>
          <w:p w14:paraId="0DD1A043" w14:textId="08DECC52" w:rsidR="00516283" w:rsidRPr="0009346E" w:rsidRDefault="001E41EC" w:rsidP="000116C6">
            <w:pPr>
              <w:rPr>
                <w:szCs w:val="24"/>
                <w:lang w:val="en-US"/>
              </w:rPr>
            </w:pPr>
            <w:hyperlink r:id="rId23" w:history="1">
              <w:r w:rsidR="00824BAF" w:rsidRPr="0009346E">
                <w:rPr>
                  <w:rStyle w:val="Hyperlink"/>
                  <w:szCs w:val="24"/>
                  <w:lang w:val="en-US"/>
                </w:rPr>
                <w:t>irene@inspiringscotland.org.uk</w:t>
              </w:r>
            </w:hyperlink>
            <w:r w:rsidR="00824BAF" w:rsidRPr="0009346E">
              <w:rPr>
                <w:szCs w:val="24"/>
                <w:lang w:val="en-US"/>
              </w:rPr>
              <w:t xml:space="preserve"> </w:t>
            </w:r>
          </w:p>
        </w:tc>
      </w:tr>
      <w:tr w:rsidR="0009346E" w14:paraId="0604A962" w14:textId="77777777" w:rsidTr="00D12561">
        <w:tc>
          <w:tcPr>
            <w:tcW w:w="1825" w:type="dxa"/>
          </w:tcPr>
          <w:p w14:paraId="000E7C31" w14:textId="448097A4" w:rsidR="0009346E" w:rsidRPr="0009346E" w:rsidRDefault="0009346E" w:rsidP="000116C6">
            <w:pPr>
              <w:rPr>
                <w:szCs w:val="24"/>
                <w:lang w:val="en-US"/>
              </w:rPr>
            </w:pPr>
            <w:r w:rsidRPr="0009346E">
              <w:rPr>
                <w:szCs w:val="24"/>
                <w:lang w:val="en-US"/>
              </w:rPr>
              <w:t>Kaylie Allen</w:t>
            </w:r>
          </w:p>
        </w:tc>
        <w:tc>
          <w:tcPr>
            <w:tcW w:w="3581" w:type="dxa"/>
          </w:tcPr>
          <w:p w14:paraId="46BF0E49" w14:textId="56110DAD" w:rsidR="0009346E" w:rsidRPr="0009346E" w:rsidRDefault="0009346E" w:rsidP="007A2015">
            <w:pPr>
              <w:rPr>
                <w:szCs w:val="24"/>
                <w:lang w:val="en-US"/>
              </w:rPr>
            </w:pPr>
            <w:r w:rsidRPr="0009346E">
              <w:rPr>
                <w:szCs w:val="24"/>
                <w:lang w:val="en-US"/>
              </w:rPr>
              <w:t xml:space="preserve">Director of Funds </w:t>
            </w:r>
          </w:p>
        </w:tc>
        <w:tc>
          <w:tcPr>
            <w:tcW w:w="3610" w:type="dxa"/>
          </w:tcPr>
          <w:p w14:paraId="2A93DFFD" w14:textId="087AF2B5" w:rsidR="0009346E" w:rsidRPr="0009346E" w:rsidRDefault="001E41EC" w:rsidP="0044789F">
            <w:pPr>
              <w:spacing w:after="120"/>
              <w:rPr>
                <w:szCs w:val="24"/>
              </w:rPr>
            </w:pPr>
            <w:hyperlink r:id="rId24" w:history="1">
              <w:r w:rsidR="0009346E" w:rsidRPr="0009346E">
                <w:rPr>
                  <w:rStyle w:val="Hyperlink"/>
                  <w:szCs w:val="24"/>
                </w:rPr>
                <w:t>kaylie@inspiringscotland.org.uk</w:t>
              </w:r>
            </w:hyperlink>
            <w:r w:rsidR="0009346E" w:rsidRPr="0009346E">
              <w:rPr>
                <w:szCs w:val="24"/>
              </w:rPr>
              <w:t xml:space="preserve"> </w:t>
            </w:r>
          </w:p>
        </w:tc>
      </w:tr>
    </w:tbl>
    <w:p w14:paraId="5CB9DEA6" w14:textId="77777777" w:rsidR="00BE2CF5" w:rsidRDefault="00BE2CF5" w:rsidP="00824BAF">
      <w:pPr>
        <w:rPr>
          <w:lang w:val="en-US"/>
        </w:rPr>
      </w:pPr>
    </w:p>
    <w:p w14:paraId="422D1232" w14:textId="77777777" w:rsidR="0044789F" w:rsidRPr="000116C6" w:rsidRDefault="0044789F" w:rsidP="00824BAF">
      <w:pPr>
        <w:rPr>
          <w:lang w:val="en-US"/>
        </w:rPr>
      </w:pPr>
    </w:p>
    <w:sectPr w:rsidR="0044789F" w:rsidRPr="000116C6" w:rsidSect="00E03CA2">
      <w:headerReference w:type="default" r:id="rId25"/>
      <w:footerReference w:type="default" r:id="rId2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4D6E" w14:textId="77777777" w:rsidR="001E41EC" w:rsidRDefault="001E41EC" w:rsidP="00B314DC">
      <w:pPr>
        <w:spacing w:after="0" w:line="240" w:lineRule="auto"/>
      </w:pPr>
      <w:r>
        <w:separator/>
      </w:r>
    </w:p>
  </w:endnote>
  <w:endnote w:type="continuationSeparator" w:id="0">
    <w:p w14:paraId="321B9041" w14:textId="77777777" w:rsidR="001E41EC" w:rsidRDefault="001E41EC" w:rsidP="00B3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A99F" w14:textId="33D01D81" w:rsidR="00B314DC" w:rsidRDefault="001055DC">
    <w:pPr>
      <w:pStyle w:val="Footer"/>
    </w:pPr>
    <w:r w:rsidRPr="009236D5">
      <w:rPr>
        <w:rFonts w:cs="Arial"/>
        <w:noProof/>
        <w:color w:val="808080" w:themeColor="background1" w:themeShade="80"/>
        <w:sz w:val="18"/>
        <w:szCs w:val="18"/>
        <w:lang w:eastAsia="en-GB"/>
      </w:rPr>
      <mc:AlternateContent>
        <mc:Choice Requires="wps">
          <w:drawing>
            <wp:anchor distT="0" distB="0" distL="114300" distR="114300" simplePos="0" relativeHeight="251659264" behindDoc="0" locked="0" layoutInCell="1" allowOverlap="1" wp14:anchorId="3DE2967F" wp14:editId="31B61A7F">
              <wp:simplePos x="0" y="0"/>
              <wp:positionH relativeFrom="page">
                <wp:align>left</wp:align>
              </wp:positionH>
              <wp:positionV relativeFrom="paragraph">
                <wp:posOffset>0</wp:posOffset>
              </wp:positionV>
              <wp:extent cx="7652385" cy="45085"/>
              <wp:effectExtent l="0" t="0" r="5715" b="0"/>
              <wp:wrapNone/>
              <wp:docPr id="6" name="Rectangle 6"/>
              <wp:cNvGraphicFramePr/>
              <a:graphic xmlns:a="http://schemas.openxmlformats.org/drawingml/2006/main">
                <a:graphicData uri="http://schemas.microsoft.com/office/word/2010/wordprocessingShape">
                  <wps:wsp>
                    <wps:cNvSpPr/>
                    <wps:spPr>
                      <a:xfrm>
                        <a:off x="0" y="0"/>
                        <a:ext cx="7652385" cy="45085"/>
                      </a:xfrm>
                      <a:prstGeom prst="rect">
                        <a:avLst/>
                      </a:prstGeom>
                      <a:solidFill>
                        <a:srgbClr val="46797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BAB14" id="Rectangle 6" o:spid="_x0000_s1026" style="position:absolute;margin-left:0;margin-top:0;width:602.55pt;height:3.5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" fillcolor="#46797b" stroked="f" strokeweight="1pt">
              <w10:wrap anchorx="page"/>
            </v:rect>
          </w:pict>
        </mc:Fallback>
      </mc:AlternateContent>
    </w:r>
  </w:p>
  <w:p w14:paraId="61E7DBD3" w14:textId="61DAF04E" w:rsidR="00DB297A" w:rsidRPr="009236D5" w:rsidRDefault="00DB297A" w:rsidP="00DB297A">
    <w:pPr>
      <w:tabs>
        <w:tab w:val="center" w:pos="9498"/>
      </w:tabs>
      <w:spacing w:after="0" w:line="240" w:lineRule="auto"/>
      <w:rPr>
        <w:rFonts w:cs="Arial"/>
        <w:sz w:val="20"/>
        <w:szCs w:val="20"/>
      </w:rPr>
    </w:pPr>
    <w:r w:rsidRPr="009236D5">
      <w:rPr>
        <w:rFonts w:cs="Arial"/>
        <w:sz w:val="20"/>
        <w:szCs w:val="20"/>
      </w:rPr>
      <w:t>Inspiring Scotland™ is a Company Limited by Guarantee Registered in Scotland SC34243</w:t>
    </w:r>
  </w:p>
  <w:p w14:paraId="16E92684" w14:textId="77777777" w:rsidR="00DB297A" w:rsidRDefault="00DB297A" w:rsidP="00DB297A">
    <w:pPr>
      <w:tabs>
        <w:tab w:val="center" w:pos="9498"/>
      </w:tabs>
      <w:spacing w:after="0" w:line="240" w:lineRule="auto"/>
      <w:rPr>
        <w:rFonts w:cs="Arial"/>
        <w:sz w:val="20"/>
        <w:szCs w:val="20"/>
      </w:rPr>
    </w:pPr>
    <w:r w:rsidRPr="009236D5">
      <w:rPr>
        <w:rFonts w:cs="Arial"/>
        <w:sz w:val="20"/>
        <w:szCs w:val="20"/>
      </w:rPr>
      <w:t>Registered Scottish Charity No. SC039605     VAT 225 5829 95</w:t>
    </w:r>
  </w:p>
  <w:p w14:paraId="543A4D80" w14:textId="2741BB4D" w:rsidR="00A74595" w:rsidRPr="009236D5" w:rsidRDefault="00A74595" w:rsidP="00DB297A">
    <w:pPr>
      <w:tabs>
        <w:tab w:val="center" w:pos="9498"/>
      </w:tabs>
      <w:spacing w:after="0" w:line="240" w:lineRule="auto"/>
      <w:rPr>
        <w:rFonts w:cs="Arial"/>
        <w:sz w:val="20"/>
        <w:szCs w:val="20"/>
      </w:rPr>
    </w:pPr>
    <w:r w:rsidRPr="00086D68">
      <w:rPr>
        <w:rFonts w:cstheme="minorHAnsi"/>
        <w:noProof/>
        <w:szCs w:val="24"/>
        <w:lang w:eastAsia="en-GB"/>
      </w:rPr>
      <w:drawing>
        <wp:anchor distT="0" distB="0" distL="114300" distR="114300" simplePos="0" relativeHeight="251664384" behindDoc="0" locked="0" layoutInCell="1" allowOverlap="1" wp14:anchorId="0B045116" wp14:editId="1FBB4015">
          <wp:simplePos x="0" y="0"/>
          <wp:positionH relativeFrom="margin">
            <wp:align>left</wp:align>
          </wp:positionH>
          <wp:positionV relativeFrom="paragraph">
            <wp:posOffset>108083</wp:posOffset>
          </wp:positionV>
          <wp:extent cx="2926800" cy="421200"/>
          <wp:effectExtent l="0" t="0" r="6985" b="0"/>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p>
  <w:p w14:paraId="097748E8" w14:textId="77777777" w:rsidR="00DB297A" w:rsidRPr="009236D5" w:rsidRDefault="00DB297A" w:rsidP="00DB297A">
    <w:pPr>
      <w:tabs>
        <w:tab w:val="center" w:pos="9498"/>
      </w:tabs>
      <w:spacing w:after="0" w:line="240" w:lineRule="auto"/>
      <w:rPr>
        <w:rFonts w:cs="Arial"/>
        <w:sz w:val="20"/>
        <w:szCs w:val="20"/>
      </w:rPr>
    </w:pPr>
  </w:p>
  <w:p w14:paraId="315935CC" w14:textId="7DDE84A2" w:rsidR="00B314DC" w:rsidRPr="00DB297A" w:rsidRDefault="001E41EC" w:rsidP="00DB297A">
    <w:pPr>
      <w:rPr>
        <w:rFonts w:cs="Arial"/>
      </w:rPr>
    </w:pPr>
    <w:hyperlink r:id="rId2" w:history="1">
      <w:r w:rsidR="00DB297A" w:rsidRPr="009236D5">
        <w:rPr>
          <w:rFonts w:cs="Arial"/>
          <w:b/>
          <w:bCs/>
          <w:color w:val="46797B"/>
          <w:sz w:val="20"/>
          <w:szCs w:val="20"/>
          <w:u w:val="single"/>
        </w:rPr>
        <w:t>www.inspiringscotland.org.uk</w:t>
      </w:r>
    </w:hyperlink>
    <w:r w:rsidR="00DB297A" w:rsidRPr="009236D5">
      <w:rPr>
        <w:rFonts w:cs="Arial"/>
        <w:b/>
        <w:bCs/>
        <w:color w:val="46797B"/>
        <w:sz w:val="20"/>
        <w:szCs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36A4" w14:textId="77777777" w:rsidR="001E41EC" w:rsidRDefault="001E41EC" w:rsidP="00B314DC">
      <w:pPr>
        <w:spacing w:after="0" w:line="240" w:lineRule="auto"/>
      </w:pPr>
      <w:r>
        <w:separator/>
      </w:r>
    </w:p>
  </w:footnote>
  <w:footnote w:type="continuationSeparator" w:id="0">
    <w:p w14:paraId="295C01E5" w14:textId="77777777" w:rsidR="001E41EC" w:rsidRDefault="001E41EC" w:rsidP="00B314DC">
      <w:pPr>
        <w:spacing w:after="0" w:line="240" w:lineRule="auto"/>
      </w:pPr>
      <w:r>
        <w:continuationSeparator/>
      </w:r>
    </w:p>
  </w:footnote>
  <w:footnote w:id="1">
    <w:p w14:paraId="67CAFC1B" w14:textId="4E4A91D9" w:rsidR="00241C13" w:rsidRPr="009C5262" w:rsidRDefault="00241C13" w:rsidP="00241C13">
      <w:pPr>
        <w:pStyle w:val="FootnoteText"/>
        <w:rPr>
          <w:sz w:val="18"/>
          <w:szCs w:val="18"/>
          <w:lang w:val="en-US"/>
        </w:rPr>
      </w:pPr>
      <w:r w:rsidRPr="009C5262">
        <w:rPr>
          <w:rStyle w:val="FootnoteReference"/>
          <w:sz w:val="18"/>
          <w:szCs w:val="18"/>
        </w:rPr>
        <w:footnoteRef/>
      </w:r>
      <w:r w:rsidRPr="009C5262">
        <w:rPr>
          <w:sz w:val="18"/>
          <w:szCs w:val="18"/>
        </w:rPr>
        <w:t xml:space="preserve"> </w:t>
      </w:r>
      <w:r w:rsidRPr="009C5262">
        <w:rPr>
          <w:sz w:val="18"/>
          <w:szCs w:val="18"/>
          <w:lang w:val="en-US"/>
        </w:rPr>
        <w:t>Delivering Equally Safe was initially a three programme, shortened to two years in light of the Strategic Review. Grant offers were made for two years commencing October 2021. In April 2022 an 18 month extension was announced</w:t>
      </w:r>
      <w:r w:rsidR="00CD14AC" w:rsidRPr="009C5262">
        <w:rPr>
          <w:sz w:val="18"/>
          <w:szCs w:val="18"/>
          <w:lang w:val="en-US"/>
        </w:rPr>
        <w:t xml:space="preserve"> with funding levels to be determined. </w:t>
      </w:r>
    </w:p>
  </w:footnote>
  <w:footnote w:id="2">
    <w:p w14:paraId="5BBBF2E0" w14:textId="151E89C1" w:rsidR="007B48F4" w:rsidRPr="007B48F4" w:rsidRDefault="007B48F4">
      <w:pPr>
        <w:pStyle w:val="FootnoteText"/>
        <w:rPr>
          <w:lang w:val="en-US"/>
        </w:rPr>
      </w:pPr>
      <w:r w:rsidRPr="009C5262">
        <w:rPr>
          <w:rStyle w:val="FootnoteReference"/>
          <w:sz w:val="18"/>
          <w:szCs w:val="18"/>
        </w:rPr>
        <w:footnoteRef/>
      </w:r>
      <w:r w:rsidRPr="009C5262">
        <w:rPr>
          <w:sz w:val="18"/>
          <w:szCs w:val="18"/>
        </w:rPr>
        <w:t xml:space="preserve"> </w:t>
      </w:r>
      <w:r w:rsidR="009C5262" w:rsidRPr="009C5262">
        <w:rPr>
          <w:sz w:val="18"/>
          <w:szCs w:val="18"/>
          <w:lang w:val="en-US"/>
        </w:rPr>
        <w:t xml:space="preserve">Includes one NHS, one Higher Education, one HSCP and two VAWPs as well as LA services </w:t>
      </w:r>
    </w:p>
  </w:footnote>
  <w:footnote w:id="3">
    <w:p w14:paraId="583694F0" w14:textId="57F258F7" w:rsidR="00690B8E" w:rsidRPr="00690B8E" w:rsidRDefault="00690B8E">
      <w:pPr>
        <w:pStyle w:val="FootnoteText"/>
        <w:rPr>
          <w:lang w:val="en-US"/>
        </w:rPr>
      </w:pPr>
      <w:r>
        <w:rPr>
          <w:rStyle w:val="FootnoteReference"/>
        </w:rPr>
        <w:footnoteRef/>
      </w:r>
      <w:r>
        <w:t xml:space="preserve"> </w:t>
      </w:r>
      <w:r>
        <w:rPr>
          <w:lang w:val="en-US"/>
        </w:rPr>
        <w:t xml:space="preserve">These numbers are still being </w:t>
      </w:r>
      <w:r w:rsidR="00244C1E">
        <w:rPr>
          <w:lang w:val="en-US"/>
        </w:rPr>
        <w:t>analyzed</w:t>
      </w:r>
      <w:r>
        <w:rPr>
          <w:lang w:val="en-US"/>
        </w:rPr>
        <w:t xml:space="preserve"> </w:t>
      </w:r>
      <w:r w:rsidR="00311BE7">
        <w:rPr>
          <w:lang w:val="en-US"/>
        </w:rPr>
        <w:t xml:space="preserve">and checked </w:t>
      </w:r>
      <w:r>
        <w:rPr>
          <w:lang w:val="en-US"/>
        </w:rPr>
        <w:t xml:space="preserve">by the team. Information will be available on support ‘type’ with a break-down of </w:t>
      </w:r>
      <w:r w:rsidR="00244C1E">
        <w:rPr>
          <w:lang w:val="en-US"/>
        </w:rPr>
        <w:t xml:space="preserve">figures of delivery of advocacy, counselling, group-work, legal advice, helpline support etc. </w:t>
      </w:r>
    </w:p>
  </w:footnote>
  <w:footnote w:id="4">
    <w:p w14:paraId="57622A3E" w14:textId="5347EF2F" w:rsidR="0045767D" w:rsidRPr="0045767D" w:rsidRDefault="0045767D">
      <w:pPr>
        <w:pStyle w:val="FootnoteText"/>
        <w:rPr>
          <w:lang w:val="en-US"/>
        </w:rPr>
      </w:pPr>
      <w:r>
        <w:rPr>
          <w:rStyle w:val="FootnoteReference"/>
        </w:rPr>
        <w:footnoteRef/>
      </w:r>
      <w:r>
        <w:t xml:space="preserve"> </w:t>
      </w:r>
      <w:r w:rsidR="002E16C9">
        <w:rPr>
          <w:lang w:val="en-US"/>
        </w:rPr>
        <w:t xml:space="preserve">Analysis of a </w:t>
      </w:r>
      <w:r w:rsidR="002608E3">
        <w:rPr>
          <w:lang w:val="en-US"/>
        </w:rPr>
        <w:t>comparable</w:t>
      </w:r>
      <w:r w:rsidR="002E16C9">
        <w:rPr>
          <w:lang w:val="en-US"/>
        </w:rPr>
        <w:t xml:space="preserve"> role </w:t>
      </w:r>
      <w:r w:rsidR="005678AF">
        <w:rPr>
          <w:lang w:val="en-US"/>
        </w:rPr>
        <w:t>(</w:t>
      </w:r>
      <w:r w:rsidR="005678AF" w:rsidRPr="00426C61">
        <w:rPr>
          <w:highlight w:val="black"/>
          <w:lang w:val="en-US"/>
        </w:rPr>
        <w:t>CEDAR Co-ordinator</w:t>
      </w:r>
      <w:r w:rsidR="005678AF">
        <w:rPr>
          <w:lang w:val="en-US"/>
        </w:rPr>
        <w:t>)</w:t>
      </w:r>
      <w:r w:rsidR="00F77FBD">
        <w:rPr>
          <w:lang w:val="en-US"/>
        </w:rPr>
        <w:t xml:space="preserve"> </w:t>
      </w:r>
      <w:r w:rsidR="002608E3">
        <w:rPr>
          <w:lang w:val="en-US"/>
        </w:rPr>
        <w:t>and wages paid</w:t>
      </w:r>
      <w:r w:rsidR="005678AF">
        <w:rPr>
          <w:lang w:val="en-US"/>
        </w:rPr>
        <w:t xml:space="preserve"> at</w:t>
      </w:r>
      <w:r w:rsidR="00F77FBD">
        <w:rPr>
          <w:lang w:val="en-US"/>
        </w:rPr>
        <w:t xml:space="preserve"> </w:t>
      </w:r>
      <w:r w:rsidR="005678AF">
        <w:rPr>
          <w:lang w:val="en-US"/>
        </w:rPr>
        <w:t xml:space="preserve">seven </w:t>
      </w:r>
      <w:r w:rsidR="00F77FBD">
        <w:rPr>
          <w:lang w:val="en-US"/>
        </w:rPr>
        <w:t>DES</w:t>
      </w:r>
      <w:r w:rsidR="005678AF">
        <w:rPr>
          <w:lang w:val="en-US"/>
        </w:rPr>
        <w:t xml:space="preserve"> funded groups</w:t>
      </w:r>
      <w:r w:rsidR="00F77FBD">
        <w:rPr>
          <w:lang w:val="en-US"/>
        </w:rPr>
        <w:t xml:space="preserve"> </w:t>
      </w:r>
      <w:r w:rsidR="00CB5693">
        <w:rPr>
          <w:lang w:val="en-US"/>
        </w:rPr>
        <w:t xml:space="preserve">shows that the voluntary sector average </w:t>
      </w:r>
      <w:r w:rsidR="002608E3">
        <w:rPr>
          <w:lang w:val="en-US"/>
        </w:rPr>
        <w:t>salary</w:t>
      </w:r>
      <w:r w:rsidR="00CB5693">
        <w:rPr>
          <w:lang w:val="en-US"/>
        </w:rPr>
        <w:t xml:space="preserve"> is £13k less than the public sector </w:t>
      </w:r>
      <w:r w:rsidR="00F77FBD">
        <w:rPr>
          <w:lang w:val="en-US"/>
        </w:rPr>
        <w:t>(£30k vs £43k)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8672" w14:textId="57368964" w:rsidR="00B314DC" w:rsidRDefault="00E03CA2">
    <w:pPr>
      <w:pStyle w:val="Header"/>
    </w:pPr>
    <w:r>
      <w:rPr>
        <w:rFonts w:cstheme="minorHAnsi"/>
        <w:noProof/>
        <w:szCs w:val="24"/>
        <w:lang w:eastAsia="en-GB"/>
      </w:rPr>
      <w:drawing>
        <wp:anchor distT="0" distB="0" distL="114300" distR="114300" simplePos="0" relativeHeight="251662336" behindDoc="0" locked="0" layoutInCell="1" allowOverlap="1" wp14:anchorId="5602DD8D" wp14:editId="23982361">
          <wp:simplePos x="0" y="0"/>
          <wp:positionH relativeFrom="margin">
            <wp:align>right</wp:align>
          </wp:positionH>
          <wp:positionV relativeFrom="paragraph">
            <wp:posOffset>-233355</wp:posOffset>
          </wp:positionV>
          <wp:extent cx="1870710" cy="505460"/>
          <wp:effectExtent l="0" t="0" r="0" b="8890"/>
          <wp:wrapSquare wrapText="bothSides"/>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0710" cy="505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13F"/>
    <w:multiLevelType w:val="hybridMultilevel"/>
    <w:tmpl w:val="4668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4C17"/>
    <w:multiLevelType w:val="hybridMultilevel"/>
    <w:tmpl w:val="C7FA7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15286"/>
    <w:multiLevelType w:val="hybridMultilevel"/>
    <w:tmpl w:val="56904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96ED5"/>
    <w:multiLevelType w:val="hybridMultilevel"/>
    <w:tmpl w:val="AE1E641C"/>
    <w:lvl w:ilvl="0" w:tplc="AD1A5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B35C2"/>
    <w:multiLevelType w:val="hybridMultilevel"/>
    <w:tmpl w:val="D7A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E175B"/>
    <w:multiLevelType w:val="hybridMultilevel"/>
    <w:tmpl w:val="6DC0D4B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95D44B7"/>
    <w:multiLevelType w:val="hybridMultilevel"/>
    <w:tmpl w:val="AD842B2A"/>
    <w:lvl w:ilvl="0" w:tplc="402EA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53723"/>
    <w:multiLevelType w:val="hybridMultilevel"/>
    <w:tmpl w:val="023E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3768B"/>
    <w:multiLevelType w:val="hybridMultilevel"/>
    <w:tmpl w:val="6BD40968"/>
    <w:lvl w:ilvl="0" w:tplc="21CAC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1A"/>
    <w:rsid w:val="00000A93"/>
    <w:rsid w:val="00000B1F"/>
    <w:rsid w:val="00003895"/>
    <w:rsid w:val="000055E7"/>
    <w:rsid w:val="000116C6"/>
    <w:rsid w:val="000117A7"/>
    <w:rsid w:val="00012B7A"/>
    <w:rsid w:val="00013E86"/>
    <w:rsid w:val="00017566"/>
    <w:rsid w:val="00020030"/>
    <w:rsid w:val="000302CA"/>
    <w:rsid w:val="00032BAC"/>
    <w:rsid w:val="00035305"/>
    <w:rsid w:val="000411FA"/>
    <w:rsid w:val="00041DED"/>
    <w:rsid w:val="00053509"/>
    <w:rsid w:val="00053BAF"/>
    <w:rsid w:val="00056915"/>
    <w:rsid w:val="00057168"/>
    <w:rsid w:val="00057AA7"/>
    <w:rsid w:val="00060A6B"/>
    <w:rsid w:val="00060F05"/>
    <w:rsid w:val="0006173F"/>
    <w:rsid w:val="00061F3E"/>
    <w:rsid w:val="0006304A"/>
    <w:rsid w:val="0006403A"/>
    <w:rsid w:val="000675AB"/>
    <w:rsid w:val="00074910"/>
    <w:rsid w:val="000750E6"/>
    <w:rsid w:val="00080E18"/>
    <w:rsid w:val="00082744"/>
    <w:rsid w:val="000857C9"/>
    <w:rsid w:val="00087ED3"/>
    <w:rsid w:val="0009346E"/>
    <w:rsid w:val="00094816"/>
    <w:rsid w:val="00095E60"/>
    <w:rsid w:val="00097FB3"/>
    <w:rsid w:val="00097FDA"/>
    <w:rsid w:val="000A21A0"/>
    <w:rsid w:val="000A672F"/>
    <w:rsid w:val="000B1E05"/>
    <w:rsid w:val="000C368D"/>
    <w:rsid w:val="000C73F5"/>
    <w:rsid w:val="000D256E"/>
    <w:rsid w:val="000D3488"/>
    <w:rsid w:val="000D42ED"/>
    <w:rsid w:val="000D4AA1"/>
    <w:rsid w:val="000D513D"/>
    <w:rsid w:val="000D67B7"/>
    <w:rsid w:val="000E27AD"/>
    <w:rsid w:val="000E2B4C"/>
    <w:rsid w:val="000E2BB5"/>
    <w:rsid w:val="000E3381"/>
    <w:rsid w:val="000F3162"/>
    <w:rsid w:val="001019FD"/>
    <w:rsid w:val="0010247A"/>
    <w:rsid w:val="00103913"/>
    <w:rsid w:val="00104155"/>
    <w:rsid w:val="001055DC"/>
    <w:rsid w:val="001111BA"/>
    <w:rsid w:val="00112413"/>
    <w:rsid w:val="0012558E"/>
    <w:rsid w:val="001269A5"/>
    <w:rsid w:val="001345E5"/>
    <w:rsid w:val="00135AD0"/>
    <w:rsid w:val="00136E1F"/>
    <w:rsid w:val="00137EB1"/>
    <w:rsid w:val="00142DA1"/>
    <w:rsid w:val="0014774D"/>
    <w:rsid w:val="00162D06"/>
    <w:rsid w:val="00165E85"/>
    <w:rsid w:val="00171ED4"/>
    <w:rsid w:val="00175627"/>
    <w:rsid w:val="00175CFB"/>
    <w:rsid w:val="0018008D"/>
    <w:rsid w:val="00184ABA"/>
    <w:rsid w:val="00184AE0"/>
    <w:rsid w:val="00185603"/>
    <w:rsid w:val="00187973"/>
    <w:rsid w:val="00191576"/>
    <w:rsid w:val="0019543D"/>
    <w:rsid w:val="0019732D"/>
    <w:rsid w:val="001979A5"/>
    <w:rsid w:val="001B32DC"/>
    <w:rsid w:val="001C496C"/>
    <w:rsid w:val="001D0C35"/>
    <w:rsid w:val="001D0EF0"/>
    <w:rsid w:val="001D3A61"/>
    <w:rsid w:val="001D5A54"/>
    <w:rsid w:val="001E41EC"/>
    <w:rsid w:val="001E51E9"/>
    <w:rsid w:val="001F0FE9"/>
    <w:rsid w:val="001F3475"/>
    <w:rsid w:val="0020247F"/>
    <w:rsid w:val="00202846"/>
    <w:rsid w:val="00202F8D"/>
    <w:rsid w:val="00204764"/>
    <w:rsid w:val="00206C60"/>
    <w:rsid w:val="00207DA2"/>
    <w:rsid w:val="00214754"/>
    <w:rsid w:val="002173A2"/>
    <w:rsid w:val="002220A6"/>
    <w:rsid w:val="002279EB"/>
    <w:rsid w:val="00234FD6"/>
    <w:rsid w:val="0023709B"/>
    <w:rsid w:val="00241C13"/>
    <w:rsid w:val="00242545"/>
    <w:rsid w:val="00244C1E"/>
    <w:rsid w:val="0024783A"/>
    <w:rsid w:val="002506E0"/>
    <w:rsid w:val="00252324"/>
    <w:rsid w:val="00257FCD"/>
    <w:rsid w:val="002604A4"/>
    <w:rsid w:val="0026089A"/>
    <w:rsid w:val="002608E3"/>
    <w:rsid w:val="00265638"/>
    <w:rsid w:val="00267740"/>
    <w:rsid w:val="00270308"/>
    <w:rsid w:val="002806F4"/>
    <w:rsid w:val="002835B8"/>
    <w:rsid w:val="00283E6E"/>
    <w:rsid w:val="002860EE"/>
    <w:rsid w:val="0028658C"/>
    <w:rsid w:val="0029219C"/>
    <w:rsid w:val="002930CD"/>
    <w:rsid w:val="0029632F"/>
    <w:rsid w:val="002A22F2"/>
    <w:rsid w:val="002A4FA2"/>
    <w:rsid w:val="002B4114"/>
    <w:rsid w:val="002B49CD"/>
    <w:rsid w:val="002B7203"/>
    <w:rsid w:val="002C1C1C"/>
    <w:rsid w:val="002C53FF"/>
    <w:rsid w:val="002D2B33"/>
    <w:rsid w:val="002D30CB"/>
    <w:rsid w:val="002E16C9"/>
    <w:rsid w:val="002E200D"/>
    <w:rsid w:val="002F1A17"/>
    <w:rsid w:val="002F43CB"/>
    <w:rsid w:val="002F4C3A"/>
    <w:rsid w:val="002F5DD9"/>
    <w:rsid w:val="003001CB"/>
    <w:rsid w:val="00307C4D"/>
    <w:rsid w:val="00311BE7"/>
    <w:rsid w:val="003130AD"/>
    <w:rsid w:val="00314298"/>
    <w:rsid w:val="00326835"/>
    <w:rsid w:val="0032707B"/>
    <w:rsid w:val="00327A29"/>
    <w:rsid w:val="00327E83"/>
    <w:rsid w:val="00333AAC"/>
    <w:rsid w:val="0033772A"/>
    <w:rsid w:val="0034100B"/>
    <w:rsid w:val="00341640"/>
    <w:rsid w:val="00341BDA"/>
    <w:rsid w:val="003429DC"/>
    <w:rsid w:val="00346C89"/>
    <w:rsid w:val="00361919"/>
    <w:rsid w:val="0036405A"/>
    <w:rsid w:val="003808F4"/>
    <w:rsid w:val="003824C7"/>
    <w:rsid w:val="00383405"/>
    <w:rsid w:val="00386BF5"/>
    <w:rsid w:val="003923CF"/>
    <w:rsid w:val="00397746"/>
    <w:rsid w:val="003A04FE"/>
    <w:rsid w:val="003B03D5"/>
    <w:rsid w:val="003B5E2E"/>
    <w:rsid w:val="003B7868"/>
    <w:rsid w:val="003C0325"/>
    <w:rsid w:val="003C4949"/>
    <w:rsid w:val="003D2B2D"/>
    <w:rsid w:val="003D4B65"/>
    <w:rsid w:val="003D5463"/>
    <w:rsid w:val="003D71D9"/>
    <w:rsid w:val="003E3CBF"/>
    <w:rsid w:val="003F5F48"/>
    <w:rsid w:val="00403FF3"/>
    <w:rsid w:val="00405074"/>
    <w:rsid w:val="004056D1"/>
    <w:rsid w:val="00415CDA"/>
    <w:rsid w:val="00416206"/>
    <w:rsid w:val="00417878"/>
    <w:rsid w:val="004227D8"/>
    <w:rsid w:val="004238BF"/>
    <w:rsid w:val="00423E17"/>
    <w:rsid w:val="00426C61"/>
    <w:rsid w:val="00443E81"/>
    <w:rsid w:val="0044789F"/>
    <w:rsid w:val="00455387"/>
    <w:rsid w:val="0045767D"/>
    <w:rsid w:val="00460497"/>
    <w:rsid w:val="00461B9F"/>
    <w:rsid w:val="00470844"/>
    <w:rsid w:val="004749F4"/>
    <w:rsid w:val="0047789F"/>
    <w:rsid w:val="004803EB"/>
    <w:rsid w:val="004938F8"/>
    <w:rsid w:val="004966E6"/>
    <w:rsid w:val="004A1582"/>
    <w:rsid w:val="004B3F33"/>
    <w:rsid w:val="004B61EF"/>
    <w:rsid w:val="004B79B0"/>
    <w:rsid w:val="004B7F27"/>
    <w:rsid w:val="004C46E8"/>
    <w:rsid w:val="004C571E"/>
    <w:rsid w:val="004C57D8"/>
    <w:rsid w:val="004C649E"/>
    <w:rsid w:val="004D024C"/>
    <w:rsid w:val="004D3688"/>
    <w:rsid w:val="004E204C"/>
    <w:rsid w:val="004E3C84"/>
    <w:rsid w:val="004E51A7"/>
    <w:rsid w:val="004F0A65"/>
    <w:rsid w:val="004F5692"/>
    <w:rsid w:val="00502AB5"/>
    <w:rsid w:val="0050356E"/>
    <w:rsid w:val="00503FE5"/>
    <w:rsid w:val="00505853"/>
    <w:rsid w:val="00505942"/>
    <w:rsid w:val="00511811"/>
    <w:rsid w:val="00512442"/>
    <w:rsid w:val="00515FCA"/>
    <w:rsid w:val="00516283"/>
    <w:rsid w:val="0051656F"/>
    <w:rsid w:val="005242A9"/>
    <w:rsid w:val="00525BD5"/>
    <w:rsid w:val="0053371F"/>
    <w:rsid w:val="00533E8E"/>
    <w:rsid w:val="0053451F"/>
    <w:rsid w:val="00541066"/>
    <w:rsid w:val="00544288"/>
    <w:rsid w:val="0055416E"/>
    <w:rsid w:val="00561F43"/>
    <w:rsid w:val="00562439"/>
    <w:rsid w:val="005678AF"/>
    <w:rsid w:val="005813EB"/>
    <w:rsid w:val="00581F00"/>
    <w:rsid w:val="00582720"/>
    <w:rsid w:val="005841FE"/>
    <w:rsid w:val="0058550A"/>
    <w:rsid w:val="005868D9"/>
    <w:rsid w:val="005879D2"/>
    <w:rsid w:val="00593D0B"/>
    <w:rsid w:val="0059746E"/>
    <w:rsid w:val="005A0B3E"/>
    <w:rsid w:val="005A4A86"/>
    <w:rsid w:val="005A65F9"/>
    <w:rsid w:val="005B240D"/>
    <w:rsid w:val="005B2FAC"/>
    <w:rsid w:val="005B434A"/>
    <w:rsid w:val="005C365E"/>
    <w:rsid w:val="005C4AB6"/>
    <w:rsid w:val="005C766C"/>
    <w:rsid w:val="005D1210"/>
    <w:rsid w:val="005D368A"/>
    <w:rsid w:val="005E171B"/>
    <w:rsid w:val="005E2B2A"/>
    <w:rsid w:val="005E6B54"/>
    <w:rsid w:val="005F426E"/>
    <w:rsid w:val="005F5651"/>
    <w:rsid w:val="00601B04"/>
    <w:rsid w:val="00601F41"/>
    <w:rsid w:val="00603345"/>
    <w:rsid w:val="00606A9D"/>
    <w:rsid w:val="00606EDC"/>
    <w:rsid w:val="00610CE5"/>
    <w:rsid w:val="00613A53"/>
    <w:rsid w:val="006172D6"/>
    <w:rsid w:val="0062340E"/>
    <w:rsid w:val="00630C9C"/>
    <w:rsid w:val="00635136"/>
    <w:rsid w:val="00635D65"/>
    <w:rsid w:val="00637819"/>
    <w:rsid w:val="00641EB4"/>
    <w:rsid w:val="00643233"/>
    <w:rsid w:val="00644B2F"/>
    <w:rsid w:val="00644C15"/>
    <w:rsid w:val="00645888"/>
    <w:rsid w:val="0065296E"/>
    <w:rsid w:val="006557A3"/>
    <w:rsid w:val="00661C56"/>
    <w:rsid w:val="00665CF1"/>
    <w:rsid w:val="0067135D"/>
    <w:rsid w:val="00671ED0"/>
    <w:rsid w:val="00675862"/>
    <w:rsid w:val="00682BD5"/>
    <w:rsid w:val="0068571F"/>
    <w:rsid w:val="00690B8E"/>
    <w:rsid w:val="00696EF8"/>
    <w:rsid w:val="006A16C4"/>
    <w:rsid w:val="006A2C0F"/>
    <w:rsid w:val="006A31EC"/>
    <w:rsid w:val="006A448A"/>
    <w:rsid w:val="006B43B6"/>
    <w:rsid w:val="006B4E1A"/>
    <w:rsid w:val="006C211E"/>
    <w:rsid w:val="006C5AD7"/>
    <w:rsid w:val="006C681B"/>
    <w:rsid w:val="006C7F57"/>
    <w:rsid w:val="006D014E"/>
    <w:rsid w:val="006F0FD5"/>
    <w:rsid w:val="006F4824"/>
    <w:rsid w:val="006F53C5"/>
    <w:rsid w:val="006F5B03"/>
    <w:rsid w:val="006F7A3A"/>
    <w:rsid w:val="007047CF"/>
    <w:rsid w:val="00704C89"/>
    <w:rsid w:val="00704D7E"/>
    <w:rsid w:val="00705155"/>
    <w:rsid w:val="00705670"/>
    <w:rsid w:val="0070696E"/>
    <w:rsid w:val="00706ADA"/>
    <w:rsid w:val="00707517"/>
    <w:rsid w:val="00724292"/>
    <w:rsid w:val="0073122F"/>
    <w:rsid w:val="00731466"/>
    <w:rsid w:val="00733216"/>
    <w:rsid w:val="00737083"/>
    <w:rsid w:val="007418D8"/>
    <w:rsid w:val="00741C35"/>
    <w:rsid w:val="007471DA"/>
    <w:rsid w:val="00756C31"/>
    <w:rsid w:val="00756CAD"/>
    <w:rsid w:val="00757BED"/>
    <w:rsid w:val="00765E1A"/>
    <w:rsid w:val="007702E5"/>
    <w:rsid w:val="00771A34"/>
    <w:rsid w:val="007804BE"/>
    <w:rsid w:val="00781FD4"/>
    <w:rsid w:val="00782284"/>
    <w:rsid w:val="00782295"/>
    <w:rsid w:val="007839DD"/>
    <w:rsid w:val="0078638E"/>
    <w:rsid w:val="00786CD1"/>
    <w:rsid w:val="00787F69"/>
    <w:rsid w:val="00795BEF"/>
    <w:rsid w:val="007A2015"/>
    <w:rsid w:val="007A37BC"/>
    <w:rsid w:val="007A5FC3"/>
    <w:rsid w:val="007B07F9"/>
    <w:rsid w:val="007B1920"/>
    <w:rsid w:val="007B269F"/>
    <w:rsid w:val="007B48F4"/>
    <w:rsid w:val="007B7068"/>
    <w:rsid w:val="007C4F71"/>
    <w:rsid w:val="007D146E"/>
    <w:rsid w:val="007D2862"/>
    <w:rsid w:val="007E03DB"/>
    <w:rsid w:val="007E33CB"/>
    <w:rsid w:val="007E36B5"/>
    <w:rsid w:val="007E7FBF"/>
    <w:rsid w:val="007F237C"/>
    <w:rsid w:val="007F4631"/>
    <w:rsid w:val="0080068A"/>
    <w:rsid w:val="00800FD5"/>
    <w:rsid w:val="00803C0B"/>
    <w:rsid w:val="0080431A"/>
    <w:rsid w:val="008111E3"/>
    <w:rsid w:val="00815BF6"/>
    <w:rsid w:val="00815D86"/>
    <w:rsid w:val="00823639"/>
    <w:rsid w:val="00824BAF"/>
    <w:rsid w:val="00824E7B"/>
    <w:rsid w:val="0082758E"/>
    <w:rsid w:val="00830073"/>
    <w:rsid w:val="00833651"/>
    <w:rsid w:val="00835998"/>
    <w:rsid w:val="008437DA"/>
    <w:rsid w:val="008437F3"/>
    <w:rsid w:val="008440DB"/>
    <w:rsid w:val="00845DD4"/>
    <w:rsid w:val="008479A6"/>
    <w:rsid w:val="00847E38"/>
    <w:rsid w:val="008553C9"/>
    <w:rsid w:val="008601A1"/>
    <w:rsid w:val="0087059D"/>
    <w:rsid w:val="00870D3E"/>
    <w:rsid w:val="0087156C"/>
    <w:rsid w:val="00872B72"/>
    <w:rsid w:val="00876C80"/>
    <w:rsid w:val="00882014"/>
    <w:rsid w:val="00883A94"/>
    <w:rsid w:val="00894693"/>
    <w:rsid w:val="0089483C"/>
    <w:rsid w:val="008A310A"/>
    <w:rsid w:val="008A4067"/>
    <w:rsid w:val="008A4A4F"/>
    <w:rsid w:val="008A6AEC"/>
    <w:rsid w:val="008A72B5"/>
    <w:rsid w:val="008B06E5"/>
    <w:rsid w:val="008B0AB9"/>
    <w:rsid w:val="008B7098"/>
    <w:rsid w:val="008C3C54"/>
    <w:rsid w:val="008C5E7E"/>
    <w:rsid w:val="008C6FBB"/>
    <w:rsid w:val="008C76F2"/>
    <w:rsid w:val="008D14AB"/>
    <w:rsid w:val="008D33CD"/>
    <w:rsid w:val="008D51D2"/>
    <w:rsid w:val="008D7DCC"/>
    <w:rsid w:val="008E4E68"/>
    <w:rsid w:val="008F0C69"/>
    <w:rsid w:val="008F1B33"/>
    <w:rsid w:val="008F58D8"/>
    <w:rsid w:val="008F7806"/>
    <w:rsid w:val="0090273C"/>
    <w:rsid w:val="00903E8A"/>
    <w:rsid w:val="009113B1"/>
    <w:rsid w:val="009300B8"/>
    <w:rsid w:val="009342C2"/>
    <w:rsid w:val="00944F7E"/>
    <w:rsid w:val="00945756"/>
    <w:rsid w:val="00946E5D"/>
    <w:rsid w:val="009470D9"/>
    <w:rsid w:val="00952934"/>
    <w:rsid w:val="00953293"/>
    <w:rsid w:val="00955119"/>
    <w:rsid w:val="009611FA"/>
    <w:rsid w:val="00962F91"/>
    <w:rsid w:val="00967AFC"/>
    <w:rsid w:val="0097191A"/>
    <w:rsid w:val="009728A8"/>
    <w:rsid w:val="009746E5"/>
    <w:rsid w:val="00975D42"/>
    <w:rsid w:val="00976D4A"/>
    <w:rsid w:val="00987CE2"/>
    <w:rsid w:val="009904BE"/>
    <w:rsid w:val="00991BB6"/>
    <w:rsid w:val="009948F7"/>
    <w:rsid w:val="0099759F"/>
    <w:rsid w:val="009A222E"/>
    <w:rsid w:val="009A5D8B"/>
    <w:rsid w:val="009B1755"/>
    <w:rsid w:val="009C180C"/>
    <w:rsid w:val="009C2FDB"/>
    <w:rsid w:val="009C3E72"/>
    <w:rsid w:val="009C4033"/>
    <w:rsid w:val="009C4865"/>
    <w:rsid w:val="009C5262"/>
    <w:rsid w:val="009D3363"/>
    <w:rsid w:val="009D54CE"/>
    <w:rsid w:val="009D62E6"/>
    <w:rsid w:val="009E59A3"/>
    <w:rsid w:val="009F04CB"/>
    <w:rsid w:val="009F0CBE"/>
    <w:rsid w:val="009F1653"/>
    <w:rsid w:val="00A02701"/>
    <w:rsid w:val="00A04916"/>
    <w:rsid w:val="00A06D51"/>
    <w:rsid w:val="00A12E07"/>
    <w:rsid w:val="00A179DD"/>
    <w:rsid w:val="00A22388"/>
    <w:rsid w:val="00A2483F"/>
    <w:rsid w:val="00A25896"/>
    <w:rsid w:val="00A27566"/>
    <w:rsid w:val="00A30253"/>
    <w:rsid w:val="00A32268"/>
    <w:rsid w:val="00A419B8"/>
    <w:rsid w:val="00A5111F"/>
    <w:rsid w:val="00A56C6D"/>
    <w:rsid w:val="00A62715"/>
    <w:rsid w:val="00A70DE9"/>
    <w:rsid w:val="00A71745"/>
    <w:rsid w:val="00A74595"/>
    <w:rsid w:val="00A7477C"/>
    <w:rsid w:val="00A81BEC"/>
    <w:rsid w:val="00A927BA"/>
    <w:rsid w:val="00A93FB3"/>
    <w:rsid w:val="00A94F82"/>
    <w:rsid w:val="00A9593C"/>
    <w:rsid w:val="00A96CB7"/>
    <w:rsid w:val="00AA6EAE"/>
    <w:rsid w:val="00AB07C0"/>
    <w:rsid w:val="00AB13B8"/>
    <w:rsid w:val="00AB1E8D"/>
    <w:rsid w:val="00AB4CEB"/>
    <w:rsid w:val="00AB5DD9"/>
    <w:rsid w:val="00AB72F5"/>
    <w:rsid w:val="00AC11D5"/>
    <w:rsid w:val="00AC15C6"/>
    <w:rsid w:val="00AD21CD"/>
    <w:rsid w:val="00AD44E2"/>
    <w:rsid w:val="00AD79A1"/>
    <w:rsid w:val="00AE45BC"/>
    <w:rsid w:val="00AE5A6F"/>
    <w:rsid w:val="00AF0627"/>
    <w:rsid w:val="00AF113C"/>
    <w:rsid w:val="00AF44E6"/>
    <w:rsid w:val="00AF52D8"/>
    <w:rsid w:val="00B0122F"/>
    <w:rsid w:val="00B02290"/>
    <w:rsid w:val="00B05C92"/>
    <w:rsid w:val="00B10D2B"/>
    <w:rsid w:val="00B12B19"/>
    <w:rsid w:val="00B15B50"/>
    <w:rsid w:val="00B1770C"/>
    <w:rsid w:val="00B22419"/>
    <w:rsid w:val="00B2506D"/>
    <w:rsid w:val="00B314DC"/>
    <w:rsid w:val="00B315DA"/>
    <w:rsid w:val="00B33FD0"/>
    <w:rsid w:val="00B40D00"/>
    <w:rsid w:val="00B43BBC"/>
    <w:rsid w:val="00B513D4"/>
    <w:rsid w:val="00B61072"/>
    <w:rsid w:val="00B636E7"/>
    <w:rsid w:val="00B64AED"/>
    <w:rsid w:val="00B64CE5"/>
    <w:rsid w:val="00B67409"/>
    <w:rsid w:val="00B67753"/>
    <w:rsid w:val="00B70443"/>
    <w:rsid w:val="00B736C3"/>
    <w:rsid w:val="00B74228"/>
    <w:rsid w:val="00B7604C"/>
    <w:rsid w:val="00B8130D"/>
    <w:rsid w:val="00B84EEA"/>
    <w:rsid w:val="00B90DB6"/>
    <w:rsid w:val="00B9383D"/>
    <w:rsid w:val="00BA107F"/>
    <w:rsid w:val="00BA23AC"/>
    <w:rsid w:val="00BA25EB"/>
    <w:rsid w:val="00BA2BF9"/>
    <w:rsid w:val="00BA303F"/>
    <w:rsid w:val="00BA554E"/>
    <w:rsid w:val="00BA5B34"/>
    <w:rsid w:val="00BB0245"/>
    <w:rsid w:val="00BB11E4"/>
    <w:rsid w:val="00BB2A2C"/>
    <w:rsid w:val="00BB361C"/>
    <w:rsid w:val="00BB6B0E"/>
    <w:rsid w:val="00BB6EDE"/>
    <w:rsid w:val="00BC35CB"/>
    <w:rsid w:val="00BD10B9"/>
    <w:rsid w:val="00BD16CC"/>
    <w:rsid w:val="00BD3396"/>
    <w:rsid w:val="00BD75CB"/>
    <w:rsid w:val="00BD7F68"/>
    <w:rsid w:val="00BE0FC8"/>
    <w:rsid w:val="00BE2B4D"/>
    <w:rsid w:val="00BE2CF5"/>
    <w:rsid w:val="00BE35C0"/>
    <w:rsid w:val="00BE41A8"/>
    <w:rsid w:val="00BF10D2"/>
    <w:rsid w:val="00BF4120"/>
    <w:rsid w:val="00BF5425"/>
    <w:rsid w:val="00BF5B76"/>
    <w:rsid w:val="00BF667C"/>
    <w:rsid w:val="00C044CE"/>
    <w:rsid w:val="00C05028"/>
    <w:rsid w:val="00C101F9"/>
    <w:rsid w:val="00C17316"/>
    <w:rsid w:val="00C209C4"/>
    <w:rsid w:val="00C23E56"/>
    <w:rsid w:val="00C241CC"/>
    <w:rsid w:val="00C30269"/>
    <w:rsid w:val="00C35ED3"/>
    <w:rsid w:val="00C36D0D"/>
    <w:rsid w:val="00C4382A"/>
    <w:rsid w:val="00C45C79"/>
    <w:rsid w:val="00C464D9"/>
    <w:rsid w:val="00C51B5F"/>
    <w:rsid w:val="00C54C85"/>
    <w:rsid w:val="00C561A7"/>
    <w:rsid w:val="00C612A3"/>
    <w:rsid w:val="00C64B16"/>
    <w:rsid w:val="00C66C21"/>
    <w:rsid w:val="00C67645"/>
    <w:rsid w:val="00C6789A"/>
    <w:rsid w:val="00C72313"/>
    <w:rsid w:val="00C861AB"/>
    <w:rsid w:val="00C954CA"/>
    <w:rsid w:val="00C96340"/>
    <w:rsid w:val="00CA65A1"/>
    <w:rsid w:val="00CB3BE9"/>
    <w:rsid w:val="00CB5693"/>
    <w:rsid w:val="00CB5C19"/>
    <w:rsid w:val="00CC1F3F"/>
    <w:rsid w:val="00CC41BA"/>
    <w:rsid w:val="00CC6550"/>
    <w:rsid w:val="00CD061A"/>
    <w:rsid w:val="00CD14AC"/>
    <w:rsid w:val="00CD50FD"/>
    <w:rsid w:val="00CD641C"/>
    <w:rsid w:val="00CF0C24"/>
    <w:rsid w:val="00CF12D6"/>
    <w:rsid w:val="00CF564A"/>
    <w:rsid w:val="00CF659D"/>
    <w:rsid w:val="00D00E5B"/>
    <w:rsid w:val="00D0338D"/>
    <w:rsid w:val="00D06007"/>
    <w:rsid w:val="00D07608"/>
    <w:rsid w:val="00D1072D"/>
    <w:rsid w:val="00D12561"/>
    <w:rsid w:val="00D17A08"/>
    <w:rsid w:val="00D17D91"/>
    <w:rsid w:val="00D247DE"/>
    <w:rsid w:val="00D3195A"/>
    <w:rsid w:val="00D32DD1"/>
    <w:rsid w:val="00D3397B"/>
    <w:rsid w:val="00D36ABD"/>
    <w:rsid w:val="00D410FF"/>
    <w:rsid w:val="00D418C4"/>
    <w:rsid w:val="00D440AD"/>
    <w:rsid w:val="00D44775"/>
    <w:rsid w:val="00D54904"/>
    <w:rsid w:val="00D54A80"/>
    <w:rsid w:val="00D553C7"/>
    <w:rsid w:val="00D616E0"/>
    <w:rsid w:val="00D72B07"/>
    <w:rsid w:val="00D75608"/>
    <w:rsid w:val="00D76104"/>
    <w:rsid w:val="00D87097"/>
    <w:rsid w:val="00D93605"/>
    <w:rsid w:val="00D96D42"/>
    <w:rsid w:val="00D97168"/>
    <w:rsid w:val="00DA16E9"/>
    <w:rsid w:val="00DA444E"/>
    <w:rsid w:val="00DA445C"/>
    <w:rsid w:val="00DB297A"/>
    <w:rsid w:val="00DB2DE9"/>
    <w:rsid w:val="00DB7C42"/>
    <w:rsid w:val="00DC1876"/>
    <w:rsid w:val="00DC1D8D"/>
    <w:rsid w:val="00DC3201"/>
    <w:rsid w:val="00DD1B73"/>
    <w:rsid w:val="00DD535E"/>
    <w:rsid w:val="00DE0B9C"/>
    <w:rsid w:val="00DE1324"/>
    <w:rsid w:val="00DE561B"/>
    <w:rsid w:val="00DF508D"/>
    <w:rsid w:val="00E02E86"/>
    <w:rsid w:val="00E03CA2"/>
    <w:rsid w:val="00E0695E"/>
    <w:rsid w:val="00E107E8"/>
    <w:rsid w:val="00E10CF0"/>
    <w:rsid w:val="00E146A1"/>
    <w:rsid w:val="00E147A6"/>
    <w:rsid w:val="00E17131"/>
    <w:rsid w:val="00E17AB2"/>
    <w:rsid w:val="00E215D2"/>
    <w:rsid w:val="00E21BCC"/>
    <w:rsid w:val="00E22EAF"/>
    <w:rsid w:val="00E24280"/>
    <w:rsid w:val="00E2511C"/>
    <w:rsid w:val="00E27934"/>
    <w:rsid w:val="00E31E8D"/>
    <w:rsid w:val="00E377C8"/>
    <w:rsid w:val="00E4666F"/>
    <w:rsid w:val="00E516BE"/>
    <w:rsid w:val="00E566A1"/>
    <w:rsid w:val="00E57775"/>
    <w:rsid w:val="00E60620"/>
    <w:rsid w:val="00E61884"/>
    <w:rsid w:val="00E63B40"/>
    <w:rsid w:val="00E6579B"/>
    <w:rsid w:val="00E71E63"/>
    <w:rsid w:val="00E71E64"/>
    <w:rsid w:val="00E771F2"/>
    <w:rsid w:val="00E83434"/>
    <w:rsid w:val="00E8692E"/>
    <w:rsid w:val="00E86D35"/>
    <w:rsid w:val="00EA2CC4"/>
    <w:rsid w:val="00EA4EFD"/>
    <w:rsid w:val="00EB30C7"/>
    <w:rsid w:val="00EB470F"/>
    <w:rsid w:val="00EB6B7E"/>
    <w:rsid w:val="00EC1117"/>
    <w:rsid w:val="00ED3442"/>
    <w:rsid w:val="00ED5D6C"/>
    <w:rsid w:val="00EE0271"/>
    <w:rsid w:val="00EE0965"/>
    <w:rsid w:val="00EF3CEB"/>
    <w:rsid w:val="00EF76AD"/>
    <w:rsid w:val="00F0111C"/>
    <w:rsid w:val="00F015AC"/>
    <w:rsid w:val="00F047B1"/>
    <w:rsid w:val="00F050BC"/>
    <w:rsid w:val="00F06DA5"/>
    <w:rsid w:val="00F111ED"/>
    <w:rsid w:val="00F1594B"/>
    <w:rsid w:val="00F22805"/>
    <w:rsid w:val="00F27087"/>
    <w:rsid w:val="00F34C9A"/>
    <w:rsid w:val="00F34D55"/>
    <w:rsid w:val="00F35D25"/>
    <w:rsid w:val="00F37F63"/>
    <w:rsid w:val="00F4184F"/>
    <w:rsid w:val="00F445C9"/>
    <w:rsid w:val="00F47A0E"/>
    <w:rsid w:val="00F51473"/>
    <w:rsid w:val="00F524C9"/>
    <w:rsid w:val="00F52B43"/>
    <w:rsid w:val="00F546DE"/>
    <w:rsid w:val="00F6190C"/>
    <w:rsid w:val="00F637F4"/>
    <w:rsid w:val="00F70AD7"/>
    <w:rsid w:val="00F730A5"/>
    <w:rsid w:val="00F77BE3"/>
    <w:rsid w:val="00F77FBD"/>
    <w:rsid w:val="00F810BF"/>
    <w:rsid w:val="00F8392A"/>
    <w:rsid w:val="00F84B62"/>
    <w:rsid w:val="00F904B2"/>
    <w:rsid w:val="00F90ADA"/>
    <w:rsid w:val="00F9347B"/>
    <w:rsid w:val="00F968AB"/>
    <w:rsid w:val="00F975A5"/>
    <w:rsid w:val="00FA2C13"/>
    <w:rsid w:val="00FA51BE"/>
    <w:rsid w:val="00FA6148"/>
    <w:rsid w:val="00FB049A"/>
    <w:rsid w:val="00FB23AD"/>
    <w:rsid w:val="00FB6B7A"/>
    <w:rsid w:val="00FC192E"/>
    <w:rsid w:val="00FC3A63"/>
    <w:rsid w:val="00FC5F21"/>
    <w:rsid w:val="00FC66C8"/>
    <w:rsid w:val="00FC71F1"/>
    <w:rsid w:val="00FC726C"/>
    <w:rsid w:val="00FD11D1"/>
    <w:rsid w:val="00FD1DE7"/>
    <w:rsid w:val="00FD2AC2"/>
    <w:rsid w:val="00FD3931"/>
    <w:rsid w:val="00FD477D"/>
    <w:rsid w:val="00FD4915"/>
    <w:rsid w:val="00FD5282"/>
    <w:rsid w:val="00FD61D1"/>
    <w:rsid w:val="00FE0545"/>
    <w:rsid w:val="00FF0537"/>
    <w:rsid w:val="00FF0F08"/>
    <w:rsid w:val="00FF2410"/>
    <w:rsid w:val="00FF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58BD"/>
  <w15:chartTrackingRefBased/>
  <w15:docId w15:val="{36921863-633D-4EB6-BBDE-4EE234A8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6CC"/>
  </w:style>
  <w:style w:type="paragraph" w:styleId="Heading1">
    <w:name w:val="heading 1"/>
    <w:basedOn w:val="Normal"/>
    <w:next w:val="Normal"/>
    <w:link w:val="Heading1Char"/>
    <w:autoRedefine/>
    <w:uiPriority w:val="9"/>
    <w:qFormat/>
    <w:rsid w:val="00B61072"/>
    <w:pPr>
      <w:keepNext/>
      <w:keepLines/>
      <w:spacing w:before="240" w:after="0"/>
      <w:outlineLvl w:val="0"/>
    </w:pPr>
    <w:rPr>
      <w:rFonts w:eastAsiaTheme="majorEastAsia" w:cstheme="majorBidi"/>
      <w:b/>
      <w:color w:val="46797B"/>
      <w:sz w:val="40"/>
      <w:szCs w:val="32"/>
    </w:rPr>
  </w:style>
  <w:style w:type="paragraph" w:styleId="Heading2">
    <w:name w:val="heading 2"/>
    <w:basedOn w:val="Normal"/>
    <w:next w:val="Normal"/>
    <w:link w:val="Heading2Char"/>
    <w:autoRedefine/>
    <w:uiPriority w:val="9"/>
    <w:unhideWhenUsed/>
    <w:qFormat/>
    <w:rsid w:val="00A74595"/>
    <w:pPr>
      <w:keepNext/>
      <w:keepLines/>
      <w:spacing w:before="40" w:after="0"/>
      <w:ind w:left="284" w:hanging="284"/>
      <w:outlineLvl w:val="1"/>
    </w:pPr>
    <w:rPr>
      <w:rFonts w:eastAsiaTheme="majorEastAsia" w:cstheme="majorBidi"/>
      <w:b/>
      <w:sz w:val="26"/>
      <w:szCs w:val="26"/>
      <w:lang w:val="en-US"/>
    </w:rPr>
  </w:style>
  <w:style w:type="paragraph" w:styleId="Heading3">
    <w:name w:val="heading 3"/>
    <w:basedOn w:val="Normal"/>
    <w:next w:val="Normal"/>
    <w:link w:val="Heading3Char"/>
    <w:autoRedefine/>
    <w:uiPriority w:val="9"/>
    <w:unhideWhenUsed/>
    <w:qFormat/>
    <w:rsid w:val="00515FCA"/>
    <w:pPr>
      <w:keepNext/>
      <w:keepLines/>
      <w:spacing w:before="40" w:after="0"/>
      <w:outlineLvl w:val="2"/>
    </w:pPr>
    <w:rPr>
      <w:rFonts w:eastAsiaTheme="majorEastAsia" w:cs="Arial"/>
      <w:b/>
      <w:szCs w:val="24"/>
    </w:rPr>
  </w:style>
  <w:style w:type="paragraph" w:styleId="Heading4">
    <w:name w:val="heading 4"/>
    <w:basedOn w:val="Normal"/>
    <w:next w:val="Normal"/>
    <w:link w:val="Heading4Char"/>
    <w:uiPriority w:val="9"/>
    <w:unhideWhenUsed/>
    <w:qFormat/>
    <w:rsid w:val="002806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72"/>
    <w:rPr>
      <w:rFonts w:eastAsiaTheme="majorEastAsia" w:cstheme="majorBidi"/>
      <w:b/>
      <w:color w:val="46797B"/>
      <w:sz w:val="40"/>
      <w:szCs w:val="32"/>
    </w:rPr>
  </w:style>
  <w:style w:type="character" w:customStyle="1" w:styleId="Heading2Char">
    <w:name w:val="Heading 2 Char"/>
    <w:basedOn w:val="DefaultParagraphFont"/>
    <w:link w:val="Heading2"/>
    <w:uiPriority w:val="9"/>
    <w:rsid w:val="00A74595"/>
    <w:rPr>
      <w:rFonts w:eastAsiaTheme="majorEastAsia" w:cstheme="majorBidi"/>
      <w:b/>
      <w:sz w:val="26"/>
      <w:szCs w:val="26"/>
      <w:lang w:val="en-US"/>
    </w:rPr>
  </w:style>
  <w:style w:type="paragraph" w:styleId="Header">
    <w:name w:val="header"/>
    <w:basedOn w:val="Normal"/>
    <w:link w:val="HeaderChar"/>
    <w:uiPriority w:val="99"/>
    <w:unhideWhenUsed/>
    <w:rsid w:val="00B3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DC"/>
  </w:style>
  <w:style w:type="paragraph" w:styleId="Footer">
    <w:name w:val="footer"/>
    <w:basedOn w:val="Normal"/>
    <w:link w:val="FooterChar"/>
    <w:uiPriority w:val="99"/>
    <w:unhideWhenUsed/>
    <w:rsid w:val="00B3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DC"/>
  </w:style>
  <w:style w:type="paragraph" w:styleId="FootnoteText">
    <w:name w:val="footnote text"/>
    <w:basedOn w:val="Normal"/>
    <w:link w:val="FootnoteTextChar"/>
    <w:uiPriority w:val="99"/>
    <w:semiHidden/>
    <w:unhideWhenUsed/>
    <w:rsid w:val="005D1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210"/>
    <w:rPr>
      <w:sz w:val="20"/>
      <w:szCs w:val="20"/>
    </w:rPr>
  </w:style>
  <w:style w:type="character" w:styleId="FootnoteReference">
    <w:name w:val="footnote reference"/>
    <w:basedOn w:val="DefaultParagraphFont"/>
    <w:uiPriority w:val="99"/>
    <w:semiHidden/>
    <w:unhideWhenUsed/>
    <w:rsid w:val="005D1210"/>
    <w:rPr>
      <w:vertAlign w:val="superscript"/>
    </w:rPr>
  </w:style>
  <w:style w:type="character" w:customStyle="1" w:styleId="Heading3Char">
    <w:name w:val="Heading 3 Char"/>
    <w:basedOn w:val="DefaultParagraphFont"/>
    <w:link w:val="Heading3"/>
    <w:uiPriority w:val="9"/>
    <w:rsid w:val="00515FCA"/>
    <w:rPr>
      <w:rFonts w:eastAsiaTheme="majorEastAsia" w:cs="Arial"/>
      <w:b/>
      <w:szCs w:val="24"/>
    </w:rPr>
  </w:style>
  <w:style w:type="table" w:styleId="TableGrid">
    <w:name w:val="Table Grid"/>
    <w:basedOn w:val="TableNormal"/>
    <w:uiPriority w:val="39"/>
    <w:rsid w:val="0064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7B7"/>
    <w:pPr>
      <w:ind w:left="720"/>
      <w:contextualSpacing/>
    </w:pPr>
  </w:style>
  <w:style w:type="character" w:styleId="CommentReference">
    <w:name w:val="annotation reference"/>
    <w:basedOn w:val="DefaultParagraphFont"/>
    <w:uiPriority w:val="99"/>
    <w:semiHidden/>
    <w:unhideWhenUsed/>
    <w:rsid w:val="00FC66C8"/>
    <w:rPr>
      <w:sz w:val="16"/>
      <w:szCs w:val="16"/>
    </w:rPr>
  </w:style>
  <w:style w:type="paragraph" w:styleId="CommentText">
    <w:name w:val="annotation text"/>
    <w:basedOn w:val="Normal"/>
    <w:link w:val="CommentTextChar"/>
    <w:uiPriority w:val="99"/>
    <w:unhideWhenUsed/>
    <w:rsid w:val="00FC66C8"/>
    <w:pPr>
      <w:spacing w:line="240" w:lineRule="auto"/>
    </w:pPr>
    <w:rPr>
      <w:sz w:val="20"/>
      <w:szCs w:val="20"/>
    </w:rPr>
  </w:style>
  <w:style w:type="character" w:customStyle="1" w:styleId="CommentTextChar">
    <w:name w:val="Comment Text Char"/>
    <w:basedOn w:val="DefaultParagraphFont"/>
    <w:link w:val="CommentText"/>
    <w:uiPriority w:val="99"/>
    <w:rsid w:val="00FC66C8"/>
    <w:rPr>
      <w:sz w:val="20"/>
      <w:szCs w:val="20"/>
    </w:rPr>
  </w:style>
  <w:style w:type="paragraph" w:styleId="CommentSubject">
    <w:name w:val="annotation subject"/>
    <w:basedOn w:val="CommentText"/>
    <w:next w:val="CommentText"/>
    <w:link w:val="CommentSubjectChar"/>
    <w:uiPriority w:val="99"/>
    <w:semiHidden/>
    <w:unhideWhenUsed/>
    <w:rsid w:val="00FC66C8"/>
    <w:rPr>
      <w:b/>
      <w:bCs/>
    </w:rPr>
  </w:style>
  <w:style w:type="character" w:customStyle="1" w:styleId="CommentSubjectChar">
    <w:name w:val="Comment Subject Char"/>
    <w:basedOn w:val="CommentTextChar"/>
    <w:link w:val="CommentSubject"/>
    <w:uiPriority w:val="99"/>
    <w:semiHidden/>
    <w:rsid w:val="00FC66C8"/>
    <w:rPr>
      <w:b/>
      <w:bCs/>
      <w:sz w:val="20"/>
      <w:szCs w:val="20"/>
    </w:rPr>
  </w:style>
  <w:style w:type="character" w:customStyle="1" w:styleId="Heading4Char">
    <w:name w:val="Heading 4 Char"/>
    <w:basedOn w:val="DefaultParagraphFont"/>
    <w:link w:val="Heading4"/>
    <w:uiPriority w:val="9"/>
    <w:rsid w:val="002806F4"/>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F4C3A"/>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2F4C3A"/>
    <w:pPr>
      <w:spacing w:after="100"/>
      <w:ind w:left="240"/>
    </w:pPr>
  </w:style>
  <w:style w:type="paragraph" w:styleId="TOC3">
    <w:name w:val="toc 3"/>
    <w:basedOn w:val="Normal"/>
    <w:next w:val="Normal"/>
    <w:autoRedefine/>
    <w:uiPriority w:val="39"/>
    <w:unhideWhenUsed/>
    <w:rsid w:val="002F4C3A"/>
    <w:pPr>
      <w:spacing w:after="100"/>
      <w:ind w:left="480"/>
    </w:pPr>
  </w:style>
  <w:style w:type="character" w:styleId="Hyperlink">
    <w:name w:val="Hyperlink"/>
    <w:basedOn w:val="DefaultParagraphFont"/>
    <w:uiPriority w:val="99"/>
    <w:unhideWhenUsed/>
    <w:rsid w:val="002F4C3A"/>
    <w:rPr>
      <w:color w:val="0563C1" w:themeColor="hyperlink"/>
      <w:u w:val="single"/>
    </w:rPr>
  </w:style>
  <w:style w:type="character" w:customStyle="1" w:styleId="UnresolvedMention">
    <w:name w:val="Unresolved Mention"/>
    <w:basedOn w:val="DefaultParagraphFont"/>
    <w:uiPriority w:val="99"/>
    <w:semiHidden/>
    <w:unhideWhenUsed/>
    <w:rsid w:val="000A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DESenquiries@inspiringscotland.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orma@inspiringscotland.org.uk"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laura@inspiring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kaylie@inspiringscotland.org.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irene@inspiringscotland.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lison@inspiring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mailto:amymclaren@inspiringscotland.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spiringscotland.org.uk"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kaylieallen\AppData\Local\Microsoft\Windows\INetCache\Content.Outlook\V85M83T6\DES%20Applicant%20Feedback%20-%20ongo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Overall process of submitting an application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'1 - 10 Charts'!$B$2</c:f>
              <c:strCache>
                <c:ptCount val="1"/>
                <c:pt idx="0">
                  <c:v>RESPONSES</c:v>
                </c:pt>
              </c:strCache>
            </c:strRef>
          </c:tx>
          <c:spPr>
            <a:solidFill>
              <a:schemeClr val="accent4"/>
            </a:solidFill>
            <a:ln>
              <a:noFill/>
            </a:ln>
            <a:effectLst/>
          </c:spPr>
          <c:invertIfNegative val="0"/>
          <c:val>
            <c:numRef>
              <c:f>'1 - 10 Charts'!$B$3:$B$12</c:f>
              <c:numCache>
                <c:formatCode>General</c:formatCode>
                <c:ptCount val="10"/>
                <c:pt idx="0">
                  <c:v>4</c:v>
                </c:pt>
                <c:pt idx="1">
                  <c:v>2</c:v>
                </c:pt>
                <c:pt idx="2">
                  <c:v>5</c:v>
                </c:pt>
                <c:pt idx="3">
                  <c:v>5</c:v>
                </c:pt>
                <c:pt idx="4">
                  <c:v>8</c:v>
                </c:pt>
                <c:pt idx="5">
                  <c:v>6</c:v>
                </c:pt>
                <c:pt idx="6">
                  <c:v>7</c:v>
                </c:pt>
                <c:pt idx="7">
                  <c:v>7</c:v>
                </c:pt>
                <c:pt idx="8">
                  <c:v>2</c:v>
                </c:pt>
                <c:pt idx="9">
                  <c:v>0</c:v>
                </c:pt>
              </c:numCache>
            </c:numRef>
          </c:val>
          <c:extLst>
            <c:ext xmlns:c16="http://schemas.microsoft.com/office/drawing/2014/chart" uri="{C3380CC4-5D6E-409C-BE32-E72D297353CC}">
              <c16:uniqueId val="{00000000-5219-40B2-8F7B-691420F6CBC5}"/>
            </c:ext>
          </c:extLst>
        </c:ser>
        <c:dLbls>
          <c:showLegendKey val="0"/>
          <c:showVal val="0"/>
          <c:showCatName val="0"/>
          <c:showSerName val="0"/>
          <c:showPercent val="0"/>
          <c:showBubbleSize val="0"/>
        </c:dLbls>
        <c:gapWidth val="219"/>
        <c:overlap val="-27"/>
        <c:axId val="942474431"/>
        <c:axId val="942475679"/>
      </c:barChart>
      <c:catAx>
        <c:axId val="9424744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Difficult -----------------------------------------------------------------------Easy</a:t>
                </a:r>
              </a:p>
            </c:rich>
          </c:tx>
          <c:layout>
            <c:manualLayout>
              <c:xMode val="edge"/>
              <c:yMode val="edge"/>
              <c:x val="0.13672222222222222"/>
              <c:y val="0.905106669358637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475679"/>
        <c:crosses val="autoZero"/>
        <c:auto val="1"/>
        <c:lblAlgn val="ctr"/>
        <c:lblOffset val="100"/>
        <c:noMultiLvlLbl val="0"/>
      </c:catAx>
      <c:valAx>
        <c:axId val="942475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4247443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6" ma:contentTypeDescription="Create a new document." ma:contentTypeScope="" ma:versionID="950f97a3a165f1e8a6deb6bf78d5d466">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b84dc8f349a35b51810656cd6a9144e0"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DC86-FE0D-4B11-B846-E36D1E1A8212}">
  <ds:schemaRefs>
    <ds:schemaRef ds:uri="http://schemas.microsoft.com/sharepoint/v3/contenttype/forms"/>
  </ds:schemaRefs>
</ds:datastoreItem>
</file>

<file path=customXml/itemProps2.xml><?xml version="1.0" encoding="utf-8"?>
<ds:datastoreItem xmlns:ds="http://schemas.openxmlformats.org/officeDocument/2006/customXml" ds:itemID="{0C40DE54-7E2C-4E6F-8363-E5F02FA3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38629-0914-458C-8485-68CC71EE0E62}">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customXml/itemProps4.xml><?xml version="1.0" encoding="utf-8"?>
<ds:datastoreItem xmlns:ds="http://schemas.openxmlformats.org/officeDocument/2006/customXml" ds:itemID="{FD2D13DF-76B9-4EF1-A8B0-77275083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Allen</dc:creator>
  <cp:keywords/>
  <dc:description/>
  <cp:lastModifiedBy>Grozier R (Rosalind)</cp:lastModifiedBy>
  <cp:revision>2</cp:revision>
  <dcterms:created xsi:type="dcterms:W3CDTF">2022-08-05T14:14:00Z</dcterms:created>
  <dcterms:modified xsi:type="dcterms:W3CDTF">2022-08-05T14:14:00Z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MediaServiceImageTags">
    <vt:lpwstr/>
  </property>
</Properties>
</file>