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18BA" w14:textId="31440A8B" w:rsidR="00F86649" w:rsidRPr="00F86649" w:rsidRDefault="00B449EB" w:rsidP="00F86649">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Pr>
          <w:rFonts w:cs="Arial"/>
          <w:b/>
          <w:noProof/>
          <w:szCs w:val="24"/>
          <w:lang w:val="en-US"/>
        </w:rPr>
        <w:drawing>
          <wp:anchor distT="0" distB="0" distL="114300" distR="114300" simplePos="0" relativeHeight="251676672" behindDoc="0" locked="0" layoutInCell="1" allowOverlap="1" wp14:anchorId="6F4F4C82" wp14:editId="4F0F4087">
            <wp:simplePos x="0" y="0"/>
            <wp:positionH relativeFrom="column">
              <wp:posOffset>3813682</wp:posOffset>
            </wp:positionH>
            <wp:positionV relativeFrom="margin">
              <wp:align>top</wp:align>
            </wp:positionV>
            <wp:extent cx="2628000" cy="392400"/>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86649" w:rsidRPr="00F86649">
        <w:rPr>
          <w:rFonts w:cs="Arial"/>
          <w:b/>
          <w:szCs w:val="24"/>
          <w:lang w:val="en-US"/>
        </w:rPr>
        <w:t>Local Living and</w:t>
      </w:r>
    </w:p>
    <w:p w14:paraId="2C5C71DC" w14:textId="77777777" w:rsidR="00F86649" w:rsidRPr="00F86649" w:rsidRDefault="00F86649" w:rsidP="00F86649">
      <w:pPr>
        <w:tabs>
          <w:tab w:val="left" w:pos="720"/>
          <w:tab w:val="left" w:pos="1440"/>
          <w:tab w:val="left" w:pos="2160"/>
          <w:tab w:val="left" w:pos="2880"/>
          <w:tab w:val="left" w:pos="4680"/>
          <w:tab w:val="left" w:pos="5400"/>
          <w:tab w:val="right" w:pos="9000"/>
        </w:tabs>
        <w:contextualSpacing/>
        <w:rPr>
          <w:rFonts w:cs="Arial"/>
          <w:b/>
          <w:szCs w:val="24"/>
          <w:lang w:val="en-US"/>
        </w:rPr>
      </w:pPr>
      <w:r w:rsidRPr="00F86649">
        <w:rPr>
          <w:rFonts w:cs="Arial"/>
          <w:b/>
          <w:szCs w:val="24"/>
          <w:lang w:val="en-US"/>
        </w:rPr>
        <w:t xml:space="preserve">20 Minute </w:t>
      </w:r>
      <w:proofErr w:type="spellStart"/>
      <w:r w:rsidRPr="00F86649">
        <w:rPr>
          <w:rFonts w:cs="Arial"/>
          <w:b/>
          <w:szCs w:val="24"/>
          <w:lang w:val="en-US"/>
        </w:rPr>
        <w:t>Neighbourhoods</w:t>
      </w:r>
      <w:proofErr w:type="spellEnd"/>
      <w:r w:rsidRPr="00F86649">
        <w:rPr>
          <w:rFonts w:cs="Arial"/>
          <w:b/>
          <w:szCs w:val="24"/>
          <w:lang w:val="en-US"/>
        </w:rPr>
        <w:t>.</w:t>
      </w:r>
    </w:p>
    <w:p w14:paraId="6E6993EB" w14:textId="7188DA0A" w:rsidR="006E292F" w:rsidRPr="000D07C1" w:rsidRDefault="00F86649" w:rsidP="00F86649">
      <w:pPr>
        <w:tabs>
          <w:tab w:val="left" w:pos="720"/>
          <w:tab w:val="left" w:pos="1440"/>
          <w:tab w:val="left" w:pos="2160"/>
          <w:tab w:val="left" w:pos="2880"/>
          <w:tab w:val="left" w:pos="4680"/>
          <w:tab w:val="left" w:pos="5400"/>
          <w:tab w:val="right" w:pos="9000"/>
        </w:tabs>
        <w:contextualSpacing/>
        <w:rPr>
          <w:rFonts w:cs="Arial"/>
          <w:b/>
          <w:szCs w:val="24"/>
        </w:rPr>
      </w:pPr>
      <w:r w:rsidRPr="00F86649">
        <w:rPr>
          <w:rFonts w:cs="Arial"/>
          <w:b/>
          <w:szCs w:val="24"/>
          <w:lang w:val="en-US"/>
        </w:rPr>
        <w:t>Planning Guidance - Draft for Consultation</w:t>
      </w:r>
    </w:p>
    <w:bookmarkEnd w:id="1"/>
    <w:bookmarkEnd w:id="2"/>
    <w:p w14:paraId="22B05141"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6129F22B" w14:textId="66DDDC6B" w:rsidR="00AC58C3" w:rsidRPr="000D07C1" w:rsidRDefault="004D053A" w:rsidP="00AC58C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213C475F" w14:textId="77777777" w:rsidR="00AC58C3" w:rsidRPr="000D07C1" w:rsidRDefault="00AC58C3" w:rsidP="00AC58C3">
      <w:pPr>
        <w:tabs>
          <w:tab w:val="left" w:pos="720"/>
          <w:tab w:val="left" w:pos="1440"/>
          <w:tab w:val="left" w:pos="2160"/>
          <w:tab w:val="left" w:pos="2880"/>
          <w:tab w:val="right" w:pos="9907"/>
        </w:tabs>
        <w:rPr>
          <w:rFonts w:eastAsia="Calibri" w:cs="Cambria"/>
          <w:b/>
          <w:sz w:val="28"/>
          <w:szCs w:val="22"/>
          <w:lang w:eastAsia="en-GB"/>
        </w:rPr>
      </w:pPr>
    </w:p>
    <w:p w14:paraId="208AC2A2" w14:textId="77777777" w:rsidR="00AC58C3" w:rsidRPr="000D07C1" w:rsidRDefault="00AC58C3" w:rsidP="00AC58C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06598065" w14:textId="77777777" w:rsidR="00AC58C3" w:rsidRPr="000D07C1" w:rsidRDefault="00AC58C3" w:rsidP="00AC58C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329F575E"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25E77F3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3D0891E3"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0CD185B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1016C83A" wp14:editId="550C22CC">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04F4FAA"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C83A"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7DQIAAAI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" filled="f">
                <v:textbox inset=",7.2pt,,7.2pt">
                  <w:txbxContent>
                    <w:p w14:paraId="004F4FAA" w14:textId="77777777" w:rsidR="003F5811" w:rsidRDefault="003F5811" w:rsidP="00AC58C3"/>
                  </w:txbxContent>
                </v:textbox>
                <w10:wrap type="tight"/>
              </v:shape>
            </w:pict>
          </mc:Fallback>
        </mc:AlternateContent>
      </w:r>
      <w:r w:rsidRPr="000D07C1">
        <w:rPr>
          <w:rFonts w:eastAsia="Calibri" w:cs="Arial"/>
          <w:szCs w:val="24"/>
          <w:lang w:eastAsia="en-GB"/>
        </w:rPr>
        <w:t>Full name or organisation’s name</w:t>
      </w:r>
    </w:p>
    <w:p w14:paraId="5D026AB5" w14:textId="77777777" w:rsidR="00AC58C3" w:rsidRPr="00F56FC6" w:rsidRDefault="00AC58C3" w:rsidP="00AC58C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4D9FE21F" wp14:editId="09B29C54">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D2C2723"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E21F" id="Text Box 16"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" filled="f">
                <v:textbox inset=",7.2pt,,7.2pt">
                  <w:txbxContent>
                    <w:p w14:paraId="5D2C2723" w14:textId="77777777" w:rsidR="003F5811" w:rsidRDefault="003F5811" w:rsidP="00AC58C3"/>
                  </w:txbxContent>
                </v:textbox>
                <w10:wrap type="tight"/>
              </v:shape>
            </w:pict>
          </mc:Fallback>
        </mc:AlternateContent>
      </w:r>
    </w:p>
    <w:p w14:paraId="40C47D51"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4D0864E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2423E68F" wp14:editId="1050BD97">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9DCEEB4"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E68F"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R0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" filled="f">
                <v:textbox inset=",7.2pt,,7.2pt">
                  <w:txbxContent>
                    <w:p w14:paraId="79DCEEB4" w14:textId="77777777" w:rsidR="003F5811" w:rsidRDefault="003F5811" w:rsidP="00AC58C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048601D5" wp14:editId="2400EFC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21156CF"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1D5"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" filled="f">
                <v:textbox inset=",7.2pt,,7.2pt">
                  <w:txbxContent>
                    <w:p w14:paraId="421156CF" w14:textId="77777777" w:rsidR="003F5811" w:rsidRDefault="003F5811" w:rsidP="00AC58C3"/>
                  </w:txbxContent>
                </v:textbox>
                <w10:wrap type="tight"/>
              </v:shape>
            </w:pict>
          </mc:Fallback>
        </mc:AlternateContent>
      </w:r>
      <w:r w:rsidRPr="000D07C1">
        <w:rPr>
          <w:rFonts w:eastAsia="Calibri"/>
          <w:szCs w:val="24"/>
          <w:lang w:eastAsia="en-GB"/>
        </w:rPr>
        <w:t xml:space="preserve">Address </w:t>
      </w:r>
    </w:p>
    <w:p w14:paraId="561452B4"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64B59A3B" w14:textId="77777777" w:rsidR="00AC58C3" w:rsidRPr="000D07C1" w:rsidRDefault="00AC58C3" w:rsidP="00AC58C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52FC070D" wp14:editId="29A7626E">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4E4E6C7"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70D" id="Text Box 13" o:spid="_x0000_s1030" type="#_x0000_t202" style="position:absolute;margin-left:198pt;margin-top:10.7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" filled="f">
                <v:textbox inset=",7.2pt,,7.2pt">
                  <w:txbxContent>
                    <w:p w14:paraId="54E4E6C7" w14:textId="77777777" w:rsidR="003F5811" w:rsidRDefault="003F5811" w:rsidP="00AC58C3"/>
                  </w:txbxContent>
                </v:textbox>
                <w10:wrap type="tight"/>
              </v:shape>
            </w:pict>
          </mc:Fallback>
        </mc:AlternateContent>
      </w:r>
    </w:p>
    <w:p w14:paraId="25EAB748"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38860393"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65408" behindDoc="0" locked="0" layoutInCell="1" allowOverlap="1" wp14:anchorId="1577CE3C" wp14:editId="43474634">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CE3C" id="Text Box 12" o:spid="_x0000_s1031" type="#_x0000_t202" style="position:absolute;margin-left:240.4pt;margin-top:5.55pt;width:227.25pt;height:1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GfFg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">
                <v:textbo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v:textbox>
              </v:shape>
            </w:pict>
          </mc:Fallback>
        </mc:AlternateContent>
      </w:r>
    </w:p>
    <w:p w14:paraId="0843DDA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2E9AC21B"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15645F"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09B84CD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E684352"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p>
    <w:p w14:paraId="00EB9D9D"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6A0A4BE7"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80EBBC8" w14:textId="77777777" w:rsidR="00AC58C3" w:rsidRPr="000D07C1" w:rsidRDefault="00AC58C3" w:rsidP="00B560C2">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5846A4F2" w14:textId="77777777" w:rsidR="00AC58C3" w:rsidRPr="000D07C1" w:rsidRDefault="00AC58C3" w:rsidP="00AC58C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932C815"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764DA213" w14:textId="47C07C71" w:rsidR="006F4788" w:rsidRDefault="00AC58C3" w:rsidP="007D191B">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r w:rsidR="006F4788">
        <w:rPr>
          <w:rFonts w:eastAsia="Calibri" w:cs="Arial"/>
          <w:szCs w:val="24"/>
          <w:lang w:eastAsia="en-GB"/>
        </w:rPr>
        <w:br w:type="page"/>
      </w:r>
    </w:p>
    <w:p w14:paraId="6745DE34" w14:textId="77777777" w:rsidR="006F4788" w:rsidRPr="00E74842" w:rsidRDefault="006F4788" w:rsidP="006F4788">
      <w:pPr>
        <w:rPr>
          <w:rFonts w:eastAsia="Calibri" w:cs="Arial"/>
          <w:szCs w:val="24"/>
          <w:lang w:eastAsia="en-GB"/>
        </w:rPr>
      </w:pPr>
      <w:r w:rsidRPr="00DE49C4">
        <w:rPr>
          <w:rFonts w:cs="Arial"/>
          <w:b/>
          <w:bCs/>
          <w:sz w:val="28"/>
          <w:szCs w:val="28"/>
        </w:rPr>
        <w:lastRenderedPageBreak/>
        <w:t>Questionnaire</w:t>
      </w:r>
    </w:p>
    <w:p w14:paraId="7E6A6D0B" w14:textId="77777777" w:rsidR="006F4788" w:rsidRDefault="006F4788" w:rsidP="006F4788">
      <w:pPr>
        <w:autoSpaceDE w:val="0"/>
        <w:autoSpaceDN w:val="0"/>
        <w:adjustRightInd w:val="0"/>
        <w:rPr>
          <w:rFonts w:cs="Arial"/>
          <w:b/>
          <w:bCs/>
          <w:szCs w:val="24"/>
        </w:rPr>
      </w:pPr>
    </w:p>
    <w:p w14:paraId="2C8DEB81" w14:textId="08C83380" w:rsidR="00C5211C" w:rsidRDefault="006F4788" w:rsidP="006F4788">
      <w:pPr>
        <w:autoSpaceDE w:val="0"/>
        <w:autoSpaceDN w:val="0"/>
        <w:adjustRightInd w:val="0"/>
        <w:rPr>
          <w:rFonts w:cs="Arial"/>
          <w:b/>
          <w:bCs/>
          <w:szCs w:val="24"/>
        </w:rPr>
      </w:pPr>
      <w:r w:rsidRPr="007866B6">
        <w:rPr>
          <w:rFonts w:cs="Arial"/>
          <w:b/>
          <w:bCs/>
          <w:szCs w:val="24"/>
        </w:rPr>
        <w:t>Question 1</w:t>
      </w:r>
    </w:p>
    <w:p w14:paraId="511800E7" w14:textId="12B373C3" w:rsidR="00C5211C" w:rsidRPr="00C5211C" w:rsidRDefault="00C5211C" w:rsidP="006F4788">
      <w:pPr>
        <w:autoSpaceDE w:val="0"/>
        <w:autoSpaceDN w:val="0"/>
        <w:adjustRightInd w:val="0"/>
      </w:pPr>
      <w:r w:rsidRPr="00C5211C">
        <w:t xml:space="preserve">How helpful is Part 1 of the guidance to further the understanding of local living and </w:t>
      </w:r>
      <w:proofErr w:type="gramStart"/>
      <w:r w:rsidRPr="00C5211C">
        <w:t>20 minute</w:t>
      </w:r>
      <w:proofErr w:type="gramEnd"/>
      <w:r w:rsidRPr="00C5211C">
        <w:t xml:space="preserve"> neighbourhoods in a Scottish context</w:t>
      </w:r>
      <w:r w:rsidR="00C06FF5">
        <w:t>?</w:t>
      </w:r>
    </w:p>
    <w:p w14:paraId="4CD42109" w14:textId="010423AD" w:rsidR="00C5211C" w:rsidRDefault="00C5211C" w:rsidP="006F4788">
      <w:pPr>
        <w:autoSpaceDE w:val="0"/>
        <w:autoSpaceDN w:val="0"/>
        <w:adjustRightInd w:val="0"/>
        <w:rPr>
          <w:b/>
          <w:bCs/>
        </w:rPr>
      </w:pPr>
    </w:p>
    <w:p w14:paraId="224A5632" w14:textId="6EC54C4B" w:rsidR="00C5211C" w:rsidRDefault="00C5211C" w:rsidP="00C5211C">
      <w:pPr>
        <w:rPr>
          <w:b/>
          <w:bCs/>
        </w:rPr>
      </w:pPr>
      <w:r>
        <w:rPr>
          <w:b/>
          <w:bCs/>
        </w:rPr>
        <w:t>Additional information</w:t>
      </w:r>
      <w:r w:rsidR="00C06FF5">
        <w:rPr>
          <w:b/>
          <w:bCs/>
        </w:rPr>
        <w:t xml:space="preserve"> for question 1</w:t>
      </w:r>
      <w:r>
        <w:rPr>
          <w:b/>
          <w:bCs/>
        </w:rPr>
        <w:t>:</w:t>
      </w:r>
    </w:p>
    <w:p w14:paraId="18D9775C" w14:textId="77777777" w:rsidR="00C5211C" w:rsidRPr="00F00210" w:rsidRDefault="00C5211C" w:rsidP="00C5211C">
      <w:pPr>
        <w:spacing w:before="120" w:after="120"/>
        <w:outlineLvl w:val="1"/>
        <w:rPr>
          <w:rFonts w:cs="Arial"/>
          <w:szCs w:val="24"/>
          <w:lang w:eastAsia="en-GB"/>
        </w:rPr>
      </w:pPr>
      <w:r w:rsidRPr="00F00210">
        <w:rPr>
          <w:rFonts w:cs="Arial"/>
          <w:szCs w:val="24"/>
          <w:lang w:eastAsia="en-GB"/>
        </w:rPr>
        <w:t xml:space="preserve">Part 1 - Local living, the benefits of local living and </w:t>
      </w:r>
      <w:proofErr w:type="gramStart"/>
      <w:r w:rsidRPr="00F00210">
        <w:rPr>
          <w:rFonts w:cs="Arial"/>
          <w:szCs w:val="24"/>
          <w:lang w:eastAsia="en-GB"/>
        </w:rPr>
        <w:t>20 minute</w:t>
      </w:r>
      <w:proofErr w:type="gramEnd"/>
      <w:r w:rsidRPr="00F00210">
        <w:rPr>
          <w:rFonts w:cs="Arial"/>
          <w:szCs w:val="24"/>
          <w:lang w:eastAsia="en-GB"/>
        </w:rPr>
        <w:t xml:space="preserve"> neighbourhoods.</w:t>
      </w:r>
    </w:p>
    <w:p w14:paraId="69C4CAED" w14:textId="77777777" w:rsidR="00C5211C" w:rsidRPr="00C42283" w:rsidRDefault="00C5211C" w:rsidP="00C5211C">
      <w:pPr>
        <w:spacing w:before="120" w:after="120"/>
        <w:outlineLvl w:val="1"/>
        <w:rPr>
          <w:rFonts w:cs="Arial"/>
          <w:b/>
          <w:bCs/>
          <w:szCs w:val="24"/>
          <w:lang w:eastAsia="en-GB"/>
        </w:rPr>
      </w:pPr>
      <w:r w:rsidRPr="00C144AA">
        <w:rPr>
          <w:rFonts w:cs="Arial"/>
          <w:szCs w:val="24"/>
          <w:lang w:eastAsia="en-GB"/>
        </w:rPr>
        <w:t xml:space="preserve">Part 1 of the guidance explains that local living and </w:t>
      </w:r>
      <w:proofErr w:type="gramStart"/>
      <w:r w:rsidRPr="00C144AA">
        <w:rPr>
          <w:rFonts w:cs="Arial"/>
          <w:szCs w:val="24"/>
          <w:lang w:eastAsia="en-GB"/>
        </w:rPr>
        <w:t>20 minute</w:t>
      </w:r>
      <w:proofErr w:type="gramEnd"/>
      <w:r w:rsidRPr="00C144AA">
        <w:rPr>
          <w:rFonts w:cs="Arial"/>
          <w:szCs w:val="24"/>
          <w:lang w:eastAsia="en-GB"/>
        </w:rPr>
        <w:t xml:space="preserve"> neighbourhoods in Scotland have the potential to contribute to global, national as well as local goals around climate action, decreased health inequalities, improved local economy and improved liveability/quality of life.</w:t>
      </w:r>
    </w:p>
    <w:p w14:paraId="3DA9E361" w14:textId="77777777" w:rsidR="00C5211C" w:rsidRDefault="00C5211C" w:rsidP="00C5211C">
      <w:pPr>
        <w:spacing w:before="100" w:beforeAutospacing="1" w:after="240"/>
        <w:rPr>
          <w:rFonts w:cs="Arial"/>
          <w:szCs w:val="24"/>
          <w:lang w:eastAsia="en-GB"/>
        </w:rPr>
      </w:pPr>
      <w:r w:rsidRPr="00C144AA">
        <w:rPr>
          <w:rFonts w:cs="Arial"/>
          <w:szCs w:val="24"/>
          <w:lang w:eastAsia="en-GB"/>
        </w:rPr>
        <w:t xml:space="preserve">It explains how local living and </w:t>
      </w:r>
      <w:proofErr w:type="gramStart"/>
      <w:r w:rsidRPr="00C144AA">
        <w:rPr>
          <w:rFonts w:cs="Arial"/>
          <w:szCs w:val="24"/>
          <w:lang w:eastAsia="en-GB"/>
        </w:rPr>
        <w:t>20 minute</w:t>
      </w:r>
      <w:proofErr w:type="gramEnd"/>
      <w:r w:rsidRPr="00C144AA">
        <w:rPr>
          <w:rFonts w:cs="Arial"/>
          <w:szCs w:val="24"/>
          <w:lang w:eastAsia="en-GB"/>
        </w:rPr>
        <w:t xml:space="preserve"> neighbourhoods can be a means of tackling the interrelated environmental, social and economic challenges we face in Scotland through the alignment with policy context, the place context and the rural and island contexts.</w:t>
      </w:r>
    </w:p>
    <w:p w14:paraId="3FEEFD93" w14:textId="4E82CBF7" w:rsidR="00F82CED" w:rsidRPr="00F82CED" w:rsidRDefault="00F82CED" w:rsidP="006F4788">
      <w:pPr>
        <w:autoSpaceDE w:val="0"/>
        <w:autoSpaceDN w:val="0"/>
        <w:adjustRightInd w:val="0"/>
      </w:pPr>
      <w:r w:rsidRPr="00F82CED">
        <w:t>More information can be found in part 1 of the guidance</w:t>
      </w:r>
      <w:r>
        <w:t xml:space="preserve"> document.</w:t>
      </w:r>
    </w:p>
    <w:p w14:paraId="3D830C82" w14:textId="77777777" w:rsidR="00C5211C" w:rsidRPr="007866B6" w:rsidRDefault="00C5211C" w:rsidP="006F4788">
      <w:pPr>
        <w:autoSpaceDE w:val="0"/>
        <w:autoSpaceDN w:val="0"/>
        <w:adjustRightInd w:val="0"/>
        <w:rPr>
          <w:rFonts w:cs="Arial"/>
          <w:b/>
          <w:bCs/>
          <w:szCs w:val="24"/>
        </w:rPr>
      </w:pPr>
    </w:p>
    <w:bookmarkStart w:id="3" w:name="_Hlk133405500"/>
    <w:p w14:paraId="31CDDD5E" w14:textId="5B4714BD"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C5211C">
        <w:rPr>
          <w:rFonts w:cs="Arial"/>
          <w:szCs w:val="24"/>
        </w:rPr>
        <w:t>Very helpful</w:t>
      </w:r>
    </w:p>
    <w:p w14:paraId="41B22B47" w14:textId="2AF83915"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C5211C">
        <w:rPr>
          <w:rFonts w:cs="Arial"/>
          <w:szCs w:val="24"/>
        </w:rPr>
        <w:t>Somewhat helpful</w:t>
      </w:r>
    </w:p>
    <w:p w14:paraId="20436287" w14:textId="3AB5B7C9"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C5211C">
        <w:rPr>
          <w:rFonts w:cs="Arial"/>
          <w:szCs w:val="24"/>
        </w:rPr>
        <w:t xml:space="preserve">Not at all helpful </w:t>
      </w:r>
    </w:p>
    <w:p w14:paraId="16275814" w14:textId="091097B7" w:rsidR="00C5211C" w:rsidRPr="00C06FF5" w:rsidRDefault="006F4788" w:rsidP="00C06FF5">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7456" behindDoc="0" locked="0" layoutInCell="1" allowOverlap="1" wp14:anchorId="45C377F1" wp14:editId="76DD3E4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3249C17"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77F1" id="Text Box 2" o:spid="_x0000_s1032" type="#_x0000_t202" style="position:absolute;margin-left:-.35pt;margin-top:22.7pt;width:468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QqkLgUAgAACgQAAA4AAAAAAAAAAAAAAAAALgIAAGRycy9lMm9Eb2MueG1sUEsBAi0AFAAG&#10;AAgAAAAhAPJkymziAAAACAEAAA8AAAAAAAAAAAAAAAAAbgQAAGRycy9kb3ducmV2LnhtbFBLBQYA&#10;AAAABAAEAPMAAAB9BQAAAAA=&#10;" filled="f">
                <v:textbox inset=",7.2pt,,7.2pt">
                  <w:txbxContent>
                    <w:p w14:paraId="33249C17" w14:textId="77777777" w:rsidR="006F4788" w:rsidRDefault="006F4788" w:rsidP="006F4788"/>
                  </w:txbxContent>
                </v:textbox>
                <w10:wrap type="tight"/>
              </v:shape>
            </w:pict>
          </mc:Fallback>
        </mc:AlternateContent>
      </w:r>
      <w:r w:rsidRPr="007866B6">
        <w:rPr>
          <w:rFonts w:cs="Arial"/>
          <w:szCs w:val="24"/>
        </w:rPr>
        <w:t>Pleas</w:t>
      </w:r>
      <w:r w:rsidR="00C5211C">
        <w:rPr>
          <w:rFonts w:cs="Arial"/>
          <w:szCs w:val="24"/>
        </w:rPr>
        <w:t>e explain your response explaining what else could be helpful</w:t>
      </w:r>
      <w:bookmarkEnd w:id="3"/>
    </w:p>
    <w:p w14:paraId="09FFF53E" w14:textId="77777777" w:rsidR="00C06FF5" w:rsidRDefault="00C06FF5" w:rsidP="006F4788">
      <w:pPr>
        <w:autoSpaceDE w:val="0"/>
        <w:autoSpaceDN w:val="0"/>
        <w:adjustRightInd w:val="0"/>
        <w:rPr>
          <w:rFonts w:cs="Arial"/>
          <w:b/>
          <w:bCs/>
          <w:szCs w:val="24"/>
        </w:rPr>
      </w:pPr>
    </w:p>
    <w:p w14:paraId="3316FCFF" w14:textId="03D12013" w:rsidR="00C5211C" w:rsidRDefault="006F4788" w:rsidP="006F4788">
      <w:pPr>
        <w:autoSpaceDE w:val="0"/>
        <w:autoSpaceDN w:val="0"/>
        <w:adjustRightInd w:val="0"/>
        <w:rPr>
          <w:rFonts w:cs="Arial"/>
          <w:b/>
          <w:bCs/>
          <w:szCs w:val="24"/>
        </w:rPr>
      </w:pPr>
      <w:r w:rsidRPr="007866B6">
        <w:rPr>
          <w:rFonts w:cs="Arial"/>
          <w:b/>
          <w:bCs/>
          <w:szCs w:val="24"/>
        </w:rPr>
        <w:t xml:space="preserve">Question </w:t>
      </w:r>
      <w:r w:rsidR="00C5211C">
        <w:rPr>
          <w:rFonts w:cs="Arial"/>
          <w:b/>
          <w:bCs/>
          <w:szCs w:val="24"/>
        </w:rPr>
        <w:t>2</w:t>
      </w:r>
    </w:p>
    <w:p w14:paraId="2A65E305" w14:textId="43C25089" w:rsidR="00C5211C" w:rsidRPr="00C5211C" w:rsidRDefault="00C5211C" w:rsidP="006F4788">
      <w:pPr>
        <w:autoSpaceDE w:val="0"/>
        <w:autoSpaceDN w:val="0"/>
        <w:adjustRightInd w:val="0"/>
        <w:rPr>
          <w:rFonts w:cs="Arial"/>
          <w:szCs w:val="24"/>
          <w:lang w:eastAsia="en-GB"/>
        </w:rPr>
      </w:pPr>
      <w:r w:rsidRPr="00C5211C">
        <w:rPr>
          <w:rFonts w:cs="Arial"/>
          <w:szCs w:val="24"/>
          <w:lang w:eastAsia="en-GB"/>
        </w:rPr>
        <w:t xml:space="preserve">Please refer to the Local Living Framework Diagram on page </w:t>
      </w:r>
      <w:r w:rsidR="00F82CED" w:rsidRPr="00F82CED">
        <w:rPr>
          <w:rFonts w:cs="Arial"/>
          <w:szCs w:val="24"/>
          <w:lang w:eastAsia="en-GB"/>
        </w:rPr>
        <w:t>19</w:t>
      </w:r>
      <w:r w:rsidRPr="00C5211C">
        <w:rPr>
          <w:rFonts w:cs="Arial"/>
          <w:color w:val="FF0000"/>
          <w:szCs w:val="24"/>
          <w:lang w:eastAsia="en-GB"/>
        </w:rPr>
        <w:t xml:space="preserve"> </w:t>
      </w:r>
      <w:r w:rsidRPr="00C5211C">
        <w:rPr>
          <w:rFonts w:cs="Arial"/>
          <w:szCs w:val="24"/>
          <w:lang w:eastAsia="en-GB"/>
        </w:rPr>
        <w:t xml:space="preserve">of the guidance. How helpful is the framework diagram in encouraging flexible, place-based approaches to support local living? </w:t>
      </w:r>
    </w:p>
    <w:p w14:paraId="6FB36AA6" w14:textId="510F4AFB" w:rsidR="00C5211C" w:rsidRDefault="00C5211C" w:rsidP="006F4788">
      <w:pPr>
        <w:autoSpaceDE w:val="0"/>
        <w:autoSpaceDN w:val="0"/>
        <w:adjustRightInd w:val="0"/>
        <w:rPr>
          <w:rFonts w:cs="Arial"/>
          <w:b/>
          <w:bCs/>
          <w:szCs w:val="24"/>
          <w:lang w:eastAsia="en-GB"/>
        </w:rPr>
      </w:pPr>
    </w:p>
    <w:p w14:paraId="2CD9D959" w14:textId="4BA17C47" w:rsidR="00C5211C" w:rsidRDefault="00C5211C" w:rsidP="00C5211C">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2</w:t>
      </w:r>
      <w:r>
        <w:rPr>
          <w:rFonts w:cs="Arial"/>
          <w:b/>
          <w:bCs/>
          <w:szCs w:val="24"/>
          <w:lang w:eastAsia="en-GB"/>
        </w:rPr>
        <w:t>:</w:t>
      </w:r>
    </w:p>
    <w:p w14:paraId="3C74065F" w14:textId="77777777" w:rsidR="00C5211C" w:rsidRPr="00F00210" w:rsidRDefault="00C5211C" w:rsidP="00C5211C">
      <w:pPr>
        <w:spacing w:before="120" w:after="120"/>
        <w:outlineLvl w:val="1"/>
        <w:rPr>
          <w:rFonts w:cs="Arial"/>
          <w:szCs w:val="24"/>
          <w:lang w:eastAsia="en-GB"/>
        </w:rPr>
      </w:pPr>
      <w:r w:rsidRPr="00F00210">
        <w:rPr>
          <w:rFonts w:cs="Arial"/>
          <w:szCs w:val="24"/>
          <w:lang w:eastAsia="en-GB"/>
        </w:rPr>
        <w:t>Part 2 of draft guidance - local living framework diagram</w:t>
      </w:r>
    </w:p>
    <w:p w14:paraId="4A253896" w14:textId="77777777" w:rsidR="00C5211C" w:rsidRPr="00C42283" w:rsidRDefault="00C5211C" w:rsidP="00C5211C">
      <w:pPr>
        <w:spacing w:before="120" w:after="120"/>
        <w:outlineLvl w:val="1"/>
        <w:rPr>
          <w:rFonts w:cs="Arial"/>
          <w:b/>
          <w:bCs/>
          <w:szCs w:val="24"/>
          <w:lang w:eastAsia="en-GB"/>
        </w:rPr>
      </w:pPr>
      <w:proofErr w:type="gramStart"/>
      <w:r w:rsidRPr="00C144AA">
        <w:rPr>
          <w:rFonts w:cs="Arial"/>
          <w:szCs w:val="24"/>
          <w:lang w:eastAsia="en-GB"/>
        </w:rPr>
        <w:t>20 minute</w:t>
      </w:r>
      <w:proofErr w:type="gramEnd"/>
      <w:r w:rsidRPr="00C144AA">
        <w:rPr>
          <w:rFonts w:cs="Arial"/>
          <w:szCs w:val="24"/>
          <w:lang w:eastAsia="en-GB"/>
        </w:rPr>
        <w:t xml:space="preserve"> neighbourhoods are one method of achieving 'local Living' and the benefits that flow from it. The way in which 'local living' works will vary from place to place and should evolve, over time </w:t>
      </w:r>
      <w:proofErr w:type="gramStart"/>
      <w:r w:rsidRPr="00C144AA">
        <w:rPr>
          <w:rFonts w:cs="Arial"/>
          <w:szCs w:val="24"/>
          <w:lang w:eastAsia="en-GB"/>
        </w:rPr>
        <w:t>as a result of</w:t>
      </w:r>
      <w:proofErr w:type="gramEnd"/>
      <w:r w:rsidRPr="00C144AA">
        <w:rPr>
          <w:rFonts w:cs="Arial"/>
          <w:szCs w:val="24"/>
          <w:lang w:eastAsia="en-GB"/>
        </w:rPr>
        <w:t xml:space="preserve"> place-based activity with communities and across sectors. </w:t>
      </w:r>
    </w:p>
    <w:p w14:paraId="509CCEA5" w14:textId="36269E45" w:rsidR="00C5211C" w:rsidRDefault="00C5211C" w:rsidP="00C5211C">
      <w:pPr>
        <w:spacing w:before="100" w:beforeAutospacing="1" w:after="240"/>
        <w:rPr>
          <w:rFonts w:cs="Arial"/>
          <w:szCs w:val="24"/>
          <w:lang w:eastAsia="en-GB"/>
        </w:rPr>
      </w:pPr>
      <w:r w:rsidRPr="00C144AA">
        <w:rPr>
          <w:rFonts w:cs="Arial"/>
          <w:szCs w:val="24"/>
          <w:lang w:eastAsia="en-GB"/>
        </w:rPr>
        <w:t>The local living framework diagram was developed to support and encourage the type of flexible, place-based approach when considering the daily needs in a place that supports local living - whilst avoiding tick box approaches. </w:t>
      </w:r>
    </w:p>
    <w:p w14:paraId="02929436" w14:textId="50333E66" w:rsidR="00C5211C" w:rsidRPr="00C5211C" w:rsidRDefault="00F82CED" w:rsidP="00C5211C">
      <w:pPr>
        <w:spacing w:before="100" w:beforeAutospacing="1" w:after="240"/>
        <w:rPr>
          <w:rFonts w:cs="Arial"/>
          <w:szCs w:val="24"/>
          <w:lang w:eastAsia="en-GB"/>
        </w:rPr>
      </w:pPr>
      <w:r>
        <w:rPr>
          <w:rFonts w:cs="Arial"/>
          <w:szCs w:val="24"/>
          <w:lang w:eastAsia="en-GB"/>
        </w:rPr>
        <w:lastRenderedPageBreak/>
        <w:t>More information can be found in part 2 of the guidance document.</w:t>
      </w:r>
    </w:p>
    <w:p w14:paraId="68928584"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helpful</w:t>
      </w:r>
    </w:p>
    <w:p w14:paraId="5818F7F6"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helpful</w:t>
      </w:r>
    </w:p>
    <w:p w14:paraId="50ED7E7E"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helpful </w:t>
      </w:r>
    </w:p>
    <w:p w14:paraId="421A97B7" w14:textId="77777777" w:rsidR="00C5211C" w:rsidRPr="007866B6" w:rsidRDefault="00C5211C" w:rsidP="00C5211C">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78720" behindDoc="0" locked="0" layoutInCell="1" allowOverlap="1" wp14:anchorId="113B2F8F" wp14:editId="269C3FE4">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3582BBC" w14:textId="77777777" w:rsidR="00C5211C" w:rsidRDefault="00C5211C" w:rsidP="00C521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2F8F" id="Text Box 5" o:spid="_x0000_s1033" type="#_x0000_t202" style="position:absolute;margin-left:-.35pt;margin-top:22.7pt;width:468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RkZVQUAgAACgQAAA4AAAAAAAAAAAAAAAAALgIAAGRycy9lMm9Eb2MueG1sUEsBAi0AFAAG&#10;AAgAAAAhAPJkymziAAAACAEAAA8AAAAAAAAAAAAAAAAAbgQAAGRycy9kb3ducmV2LnhtbFBLBQYA&#10;AAAABAAEAPMAAAB9BQAAAAA=&#10;" filled="f">
                <v:textbox inset=",7.2pt,,7.2pt">
                  <w:txbxContent>
                    <w:p w14:paraId="03582BBC" w14:textId="77777777" w:rsidR="00C5211C" w:rsidRDefault="00C5211C" w:rsidP="00C5211C"/>
                  </w:txbxContent>
                </v:textbox>
                <w10:wrap type="tight"/>
              </v:shape>
            </w:pict>
          </mc:Fallback>
        </mc:AlternateContent>
      </w:r>
      <w:r w:rsidRPr="007866B6">
        <w:rPr>
          <w:rFonts w:cs="Arial"/>
          <w:szCs w:val="24"/>
        </w:rPr>
        <w:t>Pleas</w:t>
      </w:r>
      <w:r>
        <w:rPr>
          <w:rFonts w:cs="Arial"/>
          <w:szCs w:val="24"/>
        </w:rPr>
        <w:t>e explain your response explaining what else could be helpful</w:t>
      </w:r>
    </w:p>
    <w:p w14:paraId="4F52C60E" w14:textId="77777777" w:rsidR="006F4788" w:rsidRPr="007866B6" w:rsidRDefault="006F4788" w:rsidP="006F4788">
      <w:pPr>
        <w:rPr>
          <w:rFonts w:cs="Arial"/>
          <w:szCs w:val="24"/>
        </w:rPr>
      </w:pPr>
    </w:p>
    <w:p w14:paraId="3584E353" w14:textId="62E955F3" w:rsidR="006F4788" w:rsidRPr="007866B6" w:rsidRDefault="006F4788" w:rsidP="006F4788">
      <w:pPr>
        <w:autoSpaceDE w:val="0"/>
        <w:autoSpaceDN w:val="0"/>
        <w:adjustRightInd w:val="0"/>
        <w:rPr>
          <w:rFonts w:cs="Arial"/>
          <w:b/>
          <w:bCs/>
          <w:szCs w:val="24"/>
        </w:rPr>
      </w:pPr>
      <w:r w:rsidRPr="007866B6">
        <w:rPr>
          <w:rFonts w:cs="Arial"/>
          <w:b/>
          <w:bCs/>
          <w:szCs w:val="24"/>
        </w:rPr>
        <w:t xml:space="preserve">Question </w:t>
      </w:r>
      <w:r w:rsidR="00C5211C">
        <w:rPr>
          <w:rFonts w:cs="Arial"/>
          <w:b/>
          <w:bCs/>
          <w:szCs w:val="24"/>
        </w:rPr>
        <w:t>3</w:t>
      </w:r>
    </w:p>
    <w:p w14:paraId="5005A1CA" w14:textId="6EB5F275" w:rsidR="00C5211C" w:rsidRDefault="00C5211C" w:rsidP="006F4788">
      <w:pPr>
        <w:tabs>
          <w:tab w:val="left" w:pos="426"/>
        </w:tabs>
        <w:autoSpaceDE w:val="0"/>
        <w:autoSpaceDN w:val="0"/>
        <w:adjustRightInd w:val="0"/>
        <w:spacing w:after="120"/>
        <w:rPr>
          <w:rFonts w:cs="Arial"/>
          <w:szCs w:val="24"/>
          <w:lang w:eastAsia="en-GB"/>
        </w:rPr>
      </w:pPr>
      <w:r w:rsidRPr="00C5211C">
        <w:rPr>
          <w:rFonts w:cs="Arial"/>
          <w:szCs w:val="24"/>
          <w:lang w:eastAsia="en-GB"/>
        </w:rPr>
        <w:t>Looking at part 2 of the draft guidance: how helpful are the ‘categories’ and ‘key considerations for local living’ that are captured within this part of the document?</w:t>
      </w:r>
    </w:p>
    <w:p w14:paraId="55235D6D" w14:textId="77777777" w:rsidR="00F00210" w:rsidRPr="00C5211C" w:rsidRDefault="00F00210" w:rsidP="006F4788">
      <w:pPr>
        <w:tabs>
          <w:tab w:val="left" w:pos="426"/>
        </w:tabs>
        <w:autoSpaceDE w:val="0"/>
        <w:autoSpaceDN w:val="0"/>
        <w:adjustRightInd w:val="0"/>
        <w:spacing w:after="120"/>
        <w:rPr>
          <w:rFonts w:cs="Arial"/>
          <w:szCs w:val="24"/>
        </w:rPr>
      </w:pPr>
    </w:p>
    <w:p w14:paraId="4E1DE112" w14:textId="5AE1AB13" w:rsidR="00C5211C" w:rsidRDefault="00C5211C" w:rsidP="00C5211C">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3</w:t>
      </w:r>
      <w:r>
        <w:rPr>
          <w:rFonts w:cs="Arial"/>
          <w:b/>
          <w:bCs/>
          <w:szCs w:val="24"/>
          <w:lang w:eastAsia="en-GB"/>
        </w:rPr>
        <w:t>:</w:t>
      </w:r>
    </w:p>
    <w:p w14:paraId="6B504794" w14:textId="77777777" w:rsidR="00C5211C" w:rsidRPr="00F00210" w:rsidRDefault="00C5211C" w:rsidP="00C5211C">
      <w:pPr>
        <w:spacing w:before="120" w:after="120"/>
        <w:outlineLvl w:val="1"/>
        <w:rPr>
          <w:rFonts w:cs="Arial"/>
          <w:szCs w:val="24"/>
          <w:lang w:eastAsia="en-GB"/>
        </w:rPr>
      </w:pPr>
      <w:r w:rsidRPr="00F00210">
        <w:rPr>
          <w:rFonts w:cs="Arial"/>
          <w:szCs w:val="24"/>
          <w:lang w:eastAsia="en-GB"/>
        </w:rPr>
        <w:t>Part 2: Categories and key considerations</w:t>
      </w:r>
    </w:p>
    <w:p w14:paraId="01D6E305" w14:textId="3AC71E3C" w:rsidR="00C5211C" w:rsidRDefault="00C5211C" w:rsidP="00C5211C">
      <w:pPr>
        <w:spacing w:before="120" w:after="120"/>
        <w:outlineLvl w:val="1"/>
        <w:rPr>
          <w:rFonts w:cs="Arial"/>
          <w:szCs w:val="24"/>
          <w:lang w:eastAsia="en-GB"/>
        </w:rPr>
      </w:pPr>
      <w:r w:rsidRPr="00C144AA">
        <w:rPr>
          <w:rFonts w:cs="Arial"/>
          <w:szCs w:val="24"/>
          <w:lang w:eastAsia="en-GB"/>
        </w:rPr>
        <w:t xml:space="preserve">The </w:t>
      </w:r>
      <w:r>
        <w:rPr>
          <w:rFonts w:cs="Arial"/>
          <w:szCs w:val="24"/>
          <w:lang w:eastAsia="en-GB"/>
        </w:rPr>
        <w:t>’categories’</w:t>
      </w:r>
      <w:r w:rsidRPr="00C144AA">
        <w:rPr>
          <w:rFonts w:cs="Arial"/>
          <w:szCs w:val="24"/>
          <w:lang w:eastAsia="en-GB"/>
        </w:rPr>
        <w:t xml:space="preserve"> - Movement, Space, Resources, Civic, and Stewardship</w:t>
      </w:r>
      <w:r>
        <w:rPr>
          <w:rFonts w:cs="Arial"/>
          <w:szCs w:val="24"/>
          <w:lang w:eastAsia="en-GB"/>
        </w:rPr>
        <w:t>, and the related key considerations</w:t>
      </w:r>
      <w:r w:rsidRPr="00C144AA">
        <w:rPr>
          <w:rFonts w:cs="Arial"/>
          <w:szCs w:val="24"/>
          <w:lang w:eastAsia="en-GB"/>
        </w:rPr>
        <w:t> </w:t>
      </w:r>
      <w:r>
        <w:rPr>
          <w:rFonts w:cs="Arial"/>
          <w:szCs w:val="24"/>
          <w:lang w:eastAsia="en-GB"/>
        </w:rPr>
        <w:t>support</w:t>
      </w:r>
      <w:r w:rsidRPr="00C144AA">
        <w:rPr>
          <w:rFonts w:cs="Arial"/>
          <w:szCs w:val="24"/>
          <w:lang w:eastAsia="en-GB"/>
        </w:rPr>
        <w:t xml:space="preserve"> the local living framework and are detailed in part 2 of the guidance. They provide detail on the important issues that should be considered and where appropriate, addressed for successful local living.</w:t>
      </w:r>
    </w:p>
    <w:p w14:paraId="03DFA76C" w14:textId="4BF26B9F" w:rsidR="00C5211C" w:rsidRPr="00F82CED" w:rsidRDefault="00F82CED" w:rsidP="00F82CED">
      <w:pPr>
        <w:spacing w:before="100" w:beforeAutospacing="1" w:after="240"/>
        <w:rPr>
          <w:rFonts w:cs="Arial"/>
          <w:szCs w:val="24"/>
          <w:lang w:eastAsia="en-GB"/>
        </w:rPr>
      </w:pPr>
      <w:r>
        <w:rPr>
          <w:rFonts w:cs="Arial"/>
          <w:szCs w:val="24"/>
          <w:lang w:eastAsia="en-GB"/>
        </w:rPr>
        <w:t>More information can be found in part 2 of the guidance document.</w:t>
      </w:r>
    </w:p>
    <w:p w14:paraId="471D874B"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helpful</w:t>
      </w:r>
    </w:p>
    <w:p w14:paraId="52DC1A38"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helpful</w:t>
      </w:r>
    </w:p>
    <w:p w14:paraId="60E6A53E" w14:textId="77777777" w:rsidR="00C5211C" w:rsidRPr="007866B6" w:rsidRDefault="00C5211C" w:rsidP="00C5211C">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helpful </w:t>
      </w:r>
    </w:p>
    <w:p w14:paraId="0B5E1FA2" w14:textId="77777777" w:rsidR="00C5211C" w:rsidRPr="007866B6" w:rsidRDefault="00C5211C" w:rsidP="00C5211C">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0768" behindDoc="0" locked="0" layoutInCell="1" allowOverlap="1" wp14:anchorId="34F030BE" wp14:editId="7D8AA6E9">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D4EE7C0" w14:textId="77777777" w:rsidR="00C5211C" w:rsidRDefault="00C5211C" w:rsidP="00C521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30BE" id="Text Box 6" o:spid="_x0000_s1034" type="#_x0000_t202" style="position:absolute;margin-left:-.35pt;margin-top:22.7pt;width:468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K1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QHEApGuCuonIgxhEiQ9IDI6wF+cDSTGkvufB4GKM/PREumbfLmM6r108NKpLh1hJUGV&#10;PHA2mfswKf7gULcdVZrWbOGWFtXoROFLV6f2SXCJ2dPjiIq+9FPWyxPe/QY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c+tStRMCAAAKBAAADgAAAAAAAAAAAAAAAAAuAgAAZHJzL2Uyb0RvYy54bWxQSwECLQAUAAYA&#10;CAAAACEA8mTKbOIAAAAIAQAADwAAAAAAAAAAAAAAAABtBAAAZHJzL2Rvd25yZXYueG1sUEsFBgAA&#10;AAAEAAQA8wAAAHwFAAAAAA==&#10;" filled="f">
                <v:textbox inset=",7.2pt,,7.2pt">
                  <w:txbxContent>
                    <w:p w14:paraId="2D4EE7C0" w14:textId="77777777" w:rsidR="00C5211C" w:rsidRDefault="00C5211C" w:rsidP="00C5211C"/>
                  </w:txbxContent>
                </v:textbox>
                <w10:wrap type="tight"/>
              </v:shape>
            </w:pict>
          </mc:Fallback>
        </mc:AlternateContent>
      </w:r>
      <w:r w:rsidRPr="007866B6">
        <w:rPr>
          <w:rFonts w:cs="Arial"/>
          <w:szCs w:val="24"/>
        </w:rPr>
        <w:t>Pleas</w:t>
      </w:r>
      <w:r>
        <w:rPr>
          <w:rFonts w:cs="Arial"/>
          <w:szCs w:val="24"/>
        </w:rPr>
        <w:t>e explain your response explaining what else could be helpful</w:t>
      </w:r>
    </w:p>
    <w:p w14:paraId="0A99D3AF" w14:textId="4A5A98FF" w:rsidR="00C06FF5" w:rsidRDefault="00C06FF5" w:rsidP="00F00210">
      <w:pPr>
        <w:rPr>
          <w:rFonts w:cs="Arial"/>
          <w:szCs w:val="24"/>
        </w:rPr>
      </w:pPr>
    </w:p>
    <w:p w14:paraId="10AC3FDD" w14:textId="77777777" w:rsidR="00C06FF5" w:rsidRDefault="00C06FF5" w:rsidP="00F00210">
      <w:pPr>
        <w:rPr>
          <w:rFonts w:cs="Arial"/>
          <w:szCs w:val="24"/>
        </w:rPr>
      </w:pPr>
    </w:p>
    <w:p w14:paraId="36867380" w14:textId="77777777" w:rsidR="00C06FF5" w:rsidRDefault="00C06FF5" w:rsidP="00F00210">
      <w:pPr>
        <w:rPr>
          <w:rFonts w:cs="Arial"/>
          <w:b/>
          <w:bCs/>
          <w:szCs w:val="24"/>
          <w:lang w:eastAsia="en-GB"/>
        </w:rPr>
      </w:pPr>
    </w:p>
    <w:p w14:paraId="5B6076BF" w14:textId="5E77D72B" w:rsidR="00F00210" w:rsidRDefault="00C5211C" w:rsidP="00F00210">
      <w:pPr>
        <w:rPr>
          <w:rFonts w:cs="Arial"/>
          <w:b/>
          <w:bCs/>
          <w:szCs w:val="24"/>
          <w:lang w:eastAsia="en-GB"/>
        </w:rPr>
      </w:pPr>
      <w:r w:rsidRPr="00C144AA">
        <w:rPr>
          <w:rFonts w:cs="Arial"/>
          <w:b/>
          <w:bCs/>
          <w:szCs w:val="24"/>
          <w:lang w:eastAsia="en-GB"/>
        </w:rPr>
        <w:t>Q</w:t>
      </w:r>
      <w:r w:rsidR="00F00210">
        <w:rPr>
          <w:rFonts w:cs="Arial"/>
          <w:b/>
          <w:bCs/>
          <w:szCs w:val="24"/>
          <w:lang w:eastAsia="en-GB"/>
        </w:rPr>
        <w:t xml:space="preserve">uestion </w:t>
      </w:r>
      <w:r w:rsidRPr="00C144AA">
        <w:rPr>
          <w:rFonts w:cs="Arial"/>
          <w:b/>
          <w:bCs/>
          <w:szCs w:val="24"/>
          <w:lang w:eastAsia="en-GB"/>
        </w:rPr>
        <w:t xml:space="preserve">4 </w:t>
      </w:r>
    </w:p>
    <w:p w14:paraId="1DC1E79E" w14:textId="48C4003B" w:rsidR="00C5211C" w:rsidRDefault="00C5211C" w:rsidP="00F00210">
      <w:pPr>
        <w:rPr>
          <w:rFonts w:cs="Arial"/>
          <w:color w:val="000000"/>
          <w:szCs w:val="24"/>
          <w:lang w:eastAsia="en-GB"/>
        </w:rPr>
      </w:pPr>
      <w:r w:rsidRPr="00F00210">
        <w:rPr>
          <w:rFonts w:cs="Arial"/>
          <w:color w:val="000000"/>
          <w:szCs w:val="24"/>
          <w:lang w:eastAsia="en-GB"/>
        </w:rPr>
        <w:t>How helpful is the proposed 'structured approach' for use?</w:t>
      </w:r>
    </w:p>
    <w:p w14:paraId="2249A4E9" w14:textId="77777777" w:rsidR="00F00210" w:rsidRPr="00F00210" w:rsidRDefault="00F00210" w:rsidP="00F00210">
      <w:pPr>
        <w:rPr>
          <w:rFonts w:cs="Arial"/>
          <w:b/>
          <w:bCs/>
          <w:szCs w:val="24"/>
          <w:lang w:eastAsia="en-GB"/>
        </w:rPr>
      </w:pPr>
    </w:p>
    <w:p w14:paraId="32DF4E46" w14:textId="6DDA77F8" w:rsidR="00C5211C" w:rsidRDefault="00C5211C" w:rsidP="00C5211C">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4</w:t>
      </w:r>
      <w:r>
        <w:rPr>
          <w:rFonts w:cs="Arial"/>
          <w:b/>
          <w:bCs/>
          <w:szCs w:val="24"/>
          <w:lang w:eastAsia="en-GB"/>
        </w:rPr>
        <w:t>:</w:t>
      </w:r>
    </w:p>
    <w:p w14:paraId="3BCA9DE9" w14:textId="77777777" w:rsidR="00C5211C" w:rsidRPr="00F00210" w:rsidRDefault="00C5211C" w:rsidP="00C5211C">
      <w:pPr>
        <w:spacing w:before="120" w:after="120"/>
        <w:outlineLvl w:val="1"/>
        <w:rPr>
          <w:rFonts w:cs="Arial"/>
          <w:szCs w:val="24"/>
          <w:lang w:eastAsia="en-GB"/>
        </w:rPr>
      </w:pPr>
      <w:r w:rsidRPr="00F00210">
        <w:rPr>
          <w:rFonts w:cs="Arial"/>
          <w:szCs w:val="24"/>
          <w:lang w:eastAsia="en-GB"/>
        </w:rPr>
        <w:lastRenderedPageBreak/>
        <w:t>A structured approach to delivering local living.</w:t>
      </w:r>
    </w:p>
    <w:p w14:paraId="6718BC3F" w14:textId="77777777" w:rsidR="00C5211C" w:rsidRDefault="00C5211C" w:rsidP="00C5211C">
      <w:r w:rsidRPr="00C42283">
        <w:t>Part 3 of the draft guidance offers a structured approach that can assist with delivering local living. Three 'key steps' are detailed that can be repeated for incremental change. These are:</w:t>
      </w:r>
    </w:p>
    <w:p w14:paraId="3AFABD77" w14:textId="77777777" w:rsidR="00C5211C" w:rsidRPr="00C42283" w:rsidRDefault="00C5211C" w:rsidP="00C5211C"/>
    <w:p w14:paraId="40434C62" w14:textId="77777777" w:rsidR="00C5211C" w:rsidRDefault="00C5211C" w:rsidP="00C5211C">
      <w:pPr>
        <w:pStyle w:val="ListParagraph"/>
        <w:numPr>
          <w:ilvl w:val="0"/>
          <w:numId w:val="31"/>
        </w:numPr>
      </w:pPr>
      <w:r w:rsidRPr="00C42283">
        <w:t xml:space="preserve">understand context - understanding the context of the place through the use of quantitative and qualitative </w:t>
      </w:r>
      <w:proofErr w:type="gramStart"/>
      <w:r w:rsidRPr="00C42283">
        <w:t>information</w:t>
      </w:r>
      <w:proofErr w:type="gramEnd"/>
    </w:p>
    <w:p w14:paraId="70D61062" w14:textId="77777777" w:rsidR="00C5211C" w:rsidRDefault="00C5211C" w:rsidP="00C5211C">
      <w:pPr>
        <w:pStyle w:val="ListParagraph"/>
        <w:numPr>
          <w:ilvl w:val="0"/>
          <w:numId w:val="31"/>
        </w:numPr>
      </w:pPr>
      <w:r w:rsidRPr="00C42283">
        <w:t>collaborate, plan, design- developing collaborative models of working to inform place-based planning and design processes</w:t>
      </w:r>
    </w:p>
    <w:p w14:paraId="5F3F7610" w14:textId="77777777" w:rsidR="00C5211C" w:rsidRPr="00C42283" w:rsidRDefault="00C5211C" w:rsidP="00C5211C">
      <w:pPr>
        <w:pStyle w:val="ListParagraph"/>
        <w:numPr>
          <w:ilvl w:val="0"/>
          <w:numId w:val="31"/>
        </w:numPr>
      </w:pPr>
      <w:r w:rsidRPr="00C42283">
        <w:t xml:space="preserve">implement and review - aligning investment, developing delivery capacity and supporting new ways of </w:t>
      </w:r>
      <w:proofErr w:type="gramStart"/>
      <w:r w:rsidRPr="00C42283">
        <w:t>working</w:t>
      </w:r>
      <w:proofErr w:type="gramEnd"/>
    </w:p>
    <w:p w14:paraId="31876CF8" w14:textId="6D6D7013" w:rsidR="00C5211C" w:rsidRPr="00C06FF5" w:rsidRDefault="00C06FF5" w:rsidP="00C06FF5">
      <w:pPr>
        <w:spacing w:before="100" w:beforeAutospacing="1" w:after="240"/>
        <w:rPr>
          <w:rFonts w:cs="Arial"/>
          <w:szCs w:val="24"/>
          <w:lang w:eastAsia="en-GB"/>
        </w:rPr>
      </w:pPr>
      <w:r w:rsidRPr="00C06FF5">
        <w:rPr>
          <w:rFonts w:cs="Arial"/>
          <w:szCs w:val="24"/>
          <w:lang w:eastAsia="en-GB"/>
        </w:rPr>
        <w:t xml:space="preserve">More information can be found in part </w:t>
      </w:r>
      <w:r>
        <w:rPr>
          <w:rFonts w:cs="Arial"/>
          <w:szCs w:val="24"/>
          <w:lang w:eastAsia="en-GB"/>
        </w:rPr>
        <w:t>3</w:t>
      </w:r>
      <w:r w:rsidRPr="00C06FF5">
        <w:rPr>
          <w:rFonts w:cs="Arial"/>
          <w:szCs w:val="24"/>
          <w:lang w:eastAsia="en-GB"/>
        </w:rPr>
        <w:t xml:space="preserve"> of the guidance document.</w:t>
      </w:r>
    </w:p>
    <w:p w14:paraId="0ED7D995" w14:textId="77777777" w:rsidR="00F00210" w:rsidRDefault="00F00210" w:rsidP="006F4788">
      <w:pPr>
        <w:autoSpaceDE w:val="0"/>
        <w:autoSpaceDN w:val="0"/>
        <w:adjustRightInd w:val="0"/>
        <w:rPr>
          <w:rFonts w:cs="Arial"/>
          <w:b/>
          <w:bCs/>
          <w:szCs w:val="24"/>
        </w:rPr>
      </w:pPr>
    </w:p>
    <w:p w14:paraId="052D8743"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helpful</w:t>
      </w:r>
    </w:p>
    <w:p w14:paraId="3EAAD242"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helpful</w:t>
      </w:r>
    </w:p>
    <w:p w14:paraId="5AA76887" w14:textId="6361E293" w:rsidR="00F82CED"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helpful </w:t>
      </w:r>
    </w:p>
    <w:p w14:paraId="4FC5A432" w14:textId="77777777" w:rsidR="00F00210" w:rsidRPr="007866B6" w:rsidRDefault="00F00210" w:rsidP="00F00210">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2816" behindDoc="0" locked="0" layoutInCell="1" allowOverlap="1" wp14:anchorId="6C38E93A" wp14:editId="5E5858D2">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91AF71A" w14:textId="77777777" w:rsidR="00F00210" w:rsidRDefault="00F00210" w:rsidP="00F002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E93A" id="Text Box 7" o:spid="_x0000_s1035" type="#_x0000_t202" style="position:absolute;margin-left:-.35pt;margin-top:22.7pt;width:468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dZ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TUSC0S6KqifiDCESZD0gMjoAH9xNpAYS+5/HgQqzsxHS6Rv8uUyqvfSwUununSElQRV&#10;8sDZZO7DpPiDQ912VGlas4VbWlSjE4UvXZ3aJ8ElZk+PIyr60k9ZL0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06WnWRMCAAAKBAAADgAAAAAAAAAAAAAAAAAuAgAAZHJzL2Uyb0RvYy54bWxQSwECLQAUAAYA&#10;CAAAACEA8mTKbOIAAAAIAQAADwAAAAAAAAAAAAAAAABtBAAAZHJzL2Rvd25yZXYueG1sUEsFBgAA&#10;AAAEAAQA8wAAAHwFAAAAAA==&#10;" filled="f">
                <v:textbox inset=",7.2pt,,7.2pt">
                  <w:txbxContent>
                    <w:p w14:paraId="491AF71A" w14:textId="77777777" w:rsidR="00F00210" w:rsidRDefault="00F00210" w:rsidP="00F00210"/>
                  </w:txbxContent>
                </v:textbox>
                <w10:wrap type="tight"/>
              </v:shape>
            </w:pict>
          </mc:Fallback>
        </mc:AlternateContent>
      </w:r>
      <w:r w:rsidRPr="007866B6">
        <w:rPr>
          <w:rFonts w:cs="Arial"/>
          <w:szCs w:val="24"/>
        </w:rPr>
        <w:t>Pleas</w:t>
      </w:r>
      <w:r>
        <w:rPr>
          <w:rFonts w:cs="Arial"/>
          <w:szCs w:val="24"/>
        </w:rPr>
        <w:t>e explain your response explaining what else could be helpful</w:t>
      </w:r>
    </w:p>
    <w:p w14:paraId="613AB8E7" w14:textId="77777777" w:rsidR="00F00210" w:rsidRDefault="00F00210" w:rsidP="006F4788">
      <w:pPr>
        <w:autoSpaceDE w:val="0"/>
        <w:autoSpaceDN w:val="0"/>
        <w:adjustRightInd w:val="0"/>
        <w:rPr>
          <w:rFonts w:cs="Arial"/>
          <w:b/>
          <w:bCs/>
          <w:szCs w:val="24"/>
        </w:rPr>
      </w:pPr>
    </w:p>
    <w:p w14:paraId="3DCEED98" w14:textId="5023D0DD" w:rsidR="00F00210" w:rsidRDefault="00F00210" w:rsidP="00C06FF5">
      <w:pPr>
        <w:outlineLvl w:val="1"/>
        <w:rPr>
          <w:rFonts w:cs="Arial"/>
          <w:b/>
          <w:bCs/>
          <w:szCs w:val="24"/>
          <w:lang w:eastAsia="en-GB"/>
        </w:rPr>
      </w:pPr>
      <w:r w:rsidRPr="00C42283">
        <w:rPr>
          <w:rFonts w:cs="Arial"/>
          <w:b/>
          <w:bCs/>
          <w:szCs w:val="24"/>
          <w:lang w:eastAsia="en-GB"/>
        </w:rPr>
        <w:t>Q</w:t>
      </w:r>
      <w:r w:rsidR="00C06FF5">
        <w:rPr>
          <w:rFonts w:cs="Arial"/>
          <w:b/>
          <w:bCs/>
          <w:szCs w:val="24"/>
          <w:lang w:eastAsia="en-GB"/>
        </w:rPr>
        <w:t>u</w:t>
      </w:r>
      <w:r>
        <w:rPr>
          <w:rFonts w:cs="Arial"/>
          <w:b/>
          <w:bCs/>
          <w:szCs w:val="24"/>
          <w:lang w:eastAsia="en-GB"/>
        </w:rPr>
        <w:t xml:space="preserve">estion </w:t>
      </w:r>
      <w:r w:rsidRPr="00C42283">
        <w:rPr>
          <w:rFonts w:cs="Arial"/>
          <w:b/>
          <w:bCs/>
          <w:szCs w:val="24"/>
          <w:lang w:eastAsia="en-GB"/>
        </w:rPr>
        <w:t xml:space="preserve">5 </w:t>
      </w:r>
    </w:p>
    <w:p w14:paraId="4A6ED3D3" w14:textId="11387436" w:rsidR="00F00210" w:rsidRPr="00F00210" w:rsidRDefault="00F00210" w:rsidP="00C06FF5">
      <w:pPr>
        <w:outlineLvl w:val="1"/>
        <w:rPr>
          <w:rFonts w:cs="Arial"/>
          <w:szCs w:val="24"/>
          <w:lang w:eastAsia="en-GB"/>
        </w:rPr>
      </w:pPr>
      <w:r w:rsidRPr="00F00210">
        <w:rPr>
          <w:rFonts w:cs="Arial"/>
          <w:szCs w:val="24"/>
          <w:lang w:eastAsia="en-GB"/>
        </w:rPr>
        <w:t>Does part 3 of the guidance clearly communicate the importance of both qualitative and quantitative data in establishing a baseline for a place?</w:t>
      </w:r>
    </w:p>
    <w:p w14:paraId="18C12650" w14:textId="77777777" w:rsidR="00F00210" w:rsidRDefault="00F00210" w:rsidP="00F00210">
      <w:pPr>
        <w:spacing w:before="120" w:after="120"/>
        <w:outlineLvl w:val="1"/>
        <w:rPr>
          <w:rFonts w:cs="Arial"/>
          <w:b/>
          <w:bCs/>
          <w:szCs w:val="24"/>
          <w:lang w:eastAsia="en-GB"/>
        </w:rPr>
      </w:pPr>
    </w:p>
    <w:p w14:paraId="44E78AAD" w14:textId="0B02AB40" w:rsidR="00F00210" w:rsidRDefault="00F00210" w:rsidP="00F00210">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5</w:t>
      </w:r>
      <w:r>
        <w:rPr>
          <w:rFonts w:cs="Arial"/>
          <w:b/>
          <w:bCs/>
          <w:szCs w:val="24"/>
          <w:lang w:eastAsia="en-GB"/>
        </w:rPr>
        <w:t>:</w:t>
      </w:r>
    </w:p>
    <w:p w14:paraId="01BFF0DC" w14:textId="77777777" w:rsidR="00F00210" w:rsidRPr="00C42283" w:rsidRDefault="00F00210" w:rsidP="00F00210">
      <w:pPr>
        <w:spacing w:before="120" w:after="120"/>
        <w:outlineLvl w:val="1"/>
        <w:rPr>
          <w:rFonts w:cs="Arial"/>
          <w:b/>
          <w:bCs/>
          <w:szCs w:val="24"/>
          <w:lang w:eastAsia="en-GB"/>
        </w:rPr>
      </w:pPr>
      <w:r w:rsidRPr="00C42283">
        <w:rPr>
          <w:rFonts w:cs="Arial"/>
          <w:b/>
          <w:bCs/>
          <w:szCs w:val="24"/>
          <w:lang w:eastAsia="en-GB"/>
        </w:rPr>
        <w:t xml:space="preserve">Part 3 - </w:t>
      </w:r>
      <w:r w:rsidRPr="00F00210">
        <w:rPr>
          <w:rFonts w:cs="Arial"/>
          <w:szCs w:val="24"/>
          <w:lang w:eastAsia="en-GB"/>
        </w:rPr>
        <w:t xml:space="preserve">Ways to support local living and </w:t>
      </w:r>
      <w:proofErr w:type="gramStart"/>
      <w:r w:rsidRPr="00F00210">
        <w:rPr>
          <w:rFonts w:cs="Arial"/>
          <w:szCs w:val="24"/>
          <w:lang w:eastAsia="en-GB"/>
        </w:rPr>
        <w:t>20 minute</w:t>
      </w:r>
      <w:proofErr w:type="gramEnd"/>
      <w:r w:rsidRPr="00F00210">
        <w:rPr>
          <w:rFonts w:cs="Arial"/>
          <w:szCs w:val="24"/>
          <w:lang w:eastAsia="en-GB"/>
        </w:rPr>
        <w:t xml:space="preserve"> neighbourhoods; key step 1 - understand the context</w:t>
      </w:r>
    </w:p>
    <w:p w14:paraId="3B87CB83" w14:textId="77777777" w:rsidR="00F00210" w:rsidRPr="00C42283" w:rsidRDefault="00F00210" w:rsidP="00F00210">
      <w:pPr>
        <w:spacing w:before="100" w:beforeAutospacing="1" w:after="240"/>
        <w:rPr>
          <w:rFonts w:cs="Arial"/>
          <w:szCs w:val="24"/>
          <w:lang w:eastAsia="en-GB"/>
        </w:rPr>
      </w:pPr>
      <w:r w:rsidRPr="00C42283">
        <w:rPr>
          <w:rFonts w:cs="Arial"/>
          <w:szCs w:val="24"/>
          <w:lang w:eastAsia="en-GB"/>
        </w:rPr>
        <w:t>Part 3 of the draft guidance offers a structured approach to support local living. Three 'key steps' are detailed that can be repeated for incremental change.</w:t>
      </w:r>
    </w:p>
    <w:p w14:paraId="63974525" w14:textId="77777777" w:rsidR="00F00210" w:rsidRPr="00C42283" w:rsidRDefault="00F00210" w:rsidP="00F00210">
      <w:pPr>
        <w:spacing w:before="100" w:beforeAutospacing="1" w:after="240"/>
        <w:rPr>
          <w:rFonts w:cs="Arial"/>
          <w:szCs w:val="24"/>
          <w:lang w:eastAsia="en-GB"/>
        </w:rPr>
      </w:pPr>
      <w:r w:rsidRPr="00C42283">
        <w:rPr>
          <w:rFonts w:cs="Arial"/>
          <w:b/>
          <w:bCs/>
          <w:szCs w:val="24"/>
          <w:lang w:eastAsia="en-GB"/>
        </w:rPr>
        <w:t>Key step 1: Understand context</w:t>
      </w:r>
      <w:r w:rsidRPr="00C42283">
        <w:rPr>
          <w:rFonts w:cs="Arial"/>
          <w:szCs w:val="24"/>
          <w:lang w:eastAsia="en-GB"/>
        </w:rPr>
        <w:t xml:space="preserve"> - understanding the context of the place </w:t>
      </w:r>
      <w:proofErr w:type="gramStart"/>
      <w:r w:rsidRPr="00C42283">
        <w:rPr>
          <w:rFonts w:cs="Arial"/>
          <w:szCs w:val="24"/>
          <w:lang w:eastAsia="en-GB"/>
        </w:rPr>
        <w:t>through the use of</w:t>
      </w:r>
      <w:proofErr w:type="gramEnd"/>
      <w:r w:rsidRPr="00C42283">
        <w:rPr>
          <w:rFonts w:cs="Arial"/>
          <w:szCs w:val="24"/>
          <w:lang w:eastAsia="en-GB"/>
        </w:rPr>
        <w:t xml:space="preserve"> quantitative and qualitative information.</w:t>
      </w:r>
    </w:p>
    <w:p w14:paraId="3D448425" w14:textId="77777777" w:rsidR="00F00210" w:rsidRPr="00C42283" w:rsidRDefault="00F00210" w:rsidP="00F00210">
      <w:pPr>
        <w:spacing w:before="100" w:beforeAutospacing="1" w:after="240"/>
        <w:rPr>
          <w:rFonts w:cs="Arial"/>
          <w:szCs w:val="24"/>
          <w:lang w:eastAsia="en-GB"/>
        </w:rPr>
      </w:pPr>
      <w:r w:rsidRPr="00C42283">
        <w:rPr>
          <w:rFonts w:cs="Arial"/>
          <w:szCs w:val="24"/>
          <w:lang w:eastAsia="en-GB"/>
        </w:rPr>
        <w:t>This step explains that gaining a full understanding of the context of a place, at the outset, is critical for forming a baseline and for understanding a place. </w:t>
      </w:r>
    </w:p>
    <w:p w14:paraId="088E41E8" w14:textId="1A7169F0" w:rsidR="00F00210" w:rsidRDefault="00F00210" w:rsidP="00F00210">
      <w:pPr>
        <w:spacing w:before="100" w:beforeAutospacing="1" w:after="240"/>
        <w:rPr>
          <w:rFonts w:cs="Arial"/>
          <w:szCs w:val="24"/>
          <w:lang w:eastAsia="en-GB"/>
        </w:rPr>
      </w:pPr>
      <w:r w:rsidRPr="00C42283">
        <w:rPr>
          <w:rFonts w:cs="Arial"/>
          <w:szCs w:val="24"/>
          <w:lang w:eastAsia="en-GB"/>
        </w:rPr>
        <w:t>This part of the guidance aims to communicate and emphasise that while quantitative data is important in this regard, the gathering of qualitative information and the way in which this informs action is equally as critical.</w:t>
      </w:r>
    </w:p>
    <w:p w14:paraId="0BF9D85C" w14:textId="0C1BAC29" w:rsidR="00C06FF5" w:rsidRPr="00C42283" w:rsidRDefault="00C06FF5" w:rsidP="00F00210">
      <w:pPr>
        <w:spacing w:before="100" w:beforeAutospacing="1" w:after="240"/>
        <w:rPr>
          <w:rFonts w:cs="Arial"/>
          <w:szCs w:val="24"/>
          <w:lang w:eastAsia="en-GB"/>
        </w:rPr>
      </w:pPr>
      <w:bookmarkStart w:id="4" w:name="_Hlk133406956"/>
      <w:r>
        <w:rPr>
          <w:rFonts w:cs="Arial"/>
          <w:szCs w:val="24"/>
          <w:lang w:eastAsia="en-GB"/>
        </w:rPr>
        <w:lastRenderedPageBreak/>
        <w:t>More information can be found in part 3 of the guidance document.</w:t>
      </w:r>
    </w:p>
    <w:bookmarkEnd w:id="4"/>
    <w:p w14:paraId="05112BC7" w14:textId="77777777" w:rsidR="00C5211C" w:rsidRDefault="00C5211C" w:rsidP="006F4788">
      <w:pPr>
        <w:autoSpaceDE w:val="0"/>
        <w:autoSpaceDN w:val="0"/>
        <w:adjustRightInd w:val="0"/>
        <w:rPr>
          <w:rFonts w:cs="Arial"/>
          <w:b/>
          <w:bCs/>
          <w:szCs w:val="24"/>
        </w:rPr>
      </w:pPr>
    </w:p>
    <w:p w14:paraId="392B9A62" w14:textId="44F36131"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useful</w:t>
      </w:r>
    </w:p>
    <w:p w14:paraId="58CE7F1C" w14:textId="17E93912"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useful</w:t>
      </w:r>
    </w:p>
    <w:p w14:paraId="04EF4964" w14:textId="734E1BD3"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useful </w:t>
      </w:r>
    </w:p>
    <w:p w14:paraId="6ADF2A3D" w14:textId="132DF803" w:rsidR="00F00210" w:rsidRPr="007866B6" w:rsidRDefault="00F00210" w:rsidP="00F00210">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4864" behindDoc="0" locked="0" layoutInCell="1" allowOverlap="1" wp14:anchorId="0E6446BF" wp14:editId="37FAC61C">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121F4AB" w14:textId="77777777" w:rsidR="00F00210" w:rsidRDefault="00F00210" w:rsidP="00F002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46BF" id="Text Box 8" o:spid="_x0000_s1036" type="#_x0000_t202" style="position:absolute;margin-left:-.35pt;margin-top:22.7pt;width:468pt;height:10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vT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8xi3pVUD+RYgjTRtILIqMD/MXZQNtYcv/zIFBxZj5aUn2TL5dxfS8dvHSqS0dYSVAl&#10;D5xN5j5MK39wqNuOKk1ztnBLk2p00vClq1P/tHFJ2tPriCt96aeslze8+w0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eMaL0xMCAAALBAAADgAAAAAAAAAAAAAAAAAuAgAAZHJzL2Uyb0RvYy54bWxQSwECLQAUAAYA&#10;CAAAACEA8mTKbOIAAAAIAQAADwAAAAAAAAAAAAAAAABtBAAAZHJzL2Rvd25yZXYueG1sUEsFBgAA&#10;AAAEAAQA8wAAAHwFAAAAAA==&#10;" filled="f">
                <v:textbox inset=",7.2pt,,7.2pt">
                  <w:txbxContent>
                    <w:p w14:paraId="1121F4AB" w14:textId="77777777" w:rsidR="00F00210" w:rsidRDefault="00F00210" w:rsidP="00F00210"/>
                  </w:txbxContent>
                </v:textbox>
                <w10:wrap type="tight"/>
              </v:shape>
            </w:pict>
          </mc:Fallback>
        </mc:AlternateContent>
      </w:r>
      <w:r w:rsidRPr="007866B6">
        <w:rPr>
          <w:rFonts w:cs="Arial"/>
          <w:szCs w:val="24"/>
        </w:rPr>
        <w:t>Pleas</w:t>
      </w:r>
      <w:r>
        <w:rPr>
          <w:rFonts w:cs="Arial"/>
          <w:szCs w:val="24"/>
        </w:rPr>
        <w:t>e explain your response explaining what else could be useful</w:t>
      </w:r>
    </w:p>
    <w:p w14:paraId="54F915F0" w14:textId="77777777" w:rsidR="00F00210" w:rsidRDefault="00F00210" w:rsidP="006F4788">
      <w:pPr>
        <w:autoSpaceDE w:val="0"/>
        <w:autoSpaceDN w:val="0"/>
        <w:adjustRightInd w:val="0"/>
        <w:rPr>
          <w:rFonts w:cs="Arial"/>
          <w:b/>
          <w:bCs/>
          <w:szCs w:val="24"/>
        </w:rPr>
      </w:pPr>
    </w:p>
    <w:p w14:paraId="08B1728A" w14:textId="77777777" w:rsidR="00F00210" w:rsidRDefault="00F00210" w:rsidP="00F00210">
      <w:pPr>
        <w:rPr>
          <w:b/>
          <w:bCs/>
        </w:rPr>
      </w:pPr>
      <w:r w:rsidRPr="00C42283">
        <w:rPr>
          <w:b/>
          <w:bCs/>
        </w:rPr>
        <w:t>Q</w:t>
      </w:r>
      <w:r>
        <w:rPr>
          <w:b/>
          <w:bCs/>
        </w:rPr>
        <w:t xml:space="preserve">uestion </w:t>
      </w:r>
      <w:r w:rsidRPr="00C42283">
        <w:rPr>
          <w:b/>
          <w:bCs/>
        </w:rPr>
        <w:t xml:space="preserve">6  </w:t>
      </w:r>
    </w:p>
    <w:p w14:paraId="2065C404" w14:textId="6F6ECCBD" w:rsidR="00F00210" w:rsidRPr="00F00210" w:rsidRDefault="00F00210" w:rsidP="00F00210">
      <w:r w:rsidRPr="00F00210">
        <w:t>How helpful is the 'collaborate, plan, design' section of part 3 in supporting collaborative practices?</w:t>
      </w:r>
    </w:p>
    <w:p w14:paraId="7B1D9D19" w14:textId="77777777" w:rsidR="00F00210" w:rsidRDefault="00F00210" w:rsidP="00F00210">
      <w:pPr>
        <w:rPr>
          <w:b/>
          <w:bCs/>
        </w:rPr>
      </w:pPr>
    </w:p>
    <w:p w14:paraId="3A20CB82" w14:textId="17597775" w:rsidR="00F00210" w:rsidRPr="00C42283" w:rsidRDefault="00F00210" w:rsidP="00F00210">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6</w:t>
      </w:r>
      <w:r>
        <w:rPr>
          <w:rFonts w:cs="Arial"/>
          <w:b/>
          <w:bCs/>
          <w:szCs w:val="24"/>
          <w:lang w:eastAsia="en-GB"/>
        </w:rPr>
        <w:t>:</w:t>
      </w:r>
    </w:p>
    <w:p w14:paraId="172C04C8" w14:textId="77777777" w:rsidR="00F00210" w:rsidRPr="00C42283" w:rsidRDefault="00F00210" w:rsidP="00F00210">
      <w:pPr>
        <w:rPr>
          <w:b/>
          <w:bCs/>
        </w:rPr>
      </w:pPr>
      <w:r w:rsidRPr="00F00210">
        <w:t>Part 3 -</w:t>
      </w:r>
      <w:r w:rsidRPr="00C42283">
        <w:rPr>
          <w:b/>
          <w:bCs/>
        </w:rPr>
        <w:t xml:space="preserve"> </w:t>
      </w:r>
      <w:r w:rsidRPr="00F00210">
        <w:t xml:space="preserve">Ways to support local living and </w:t>
      </w:r>
      <w:proofErr w:type="gramStart"/>
      <w:r w:rsidRPr="00F00210">
        <w:t>20 minute</w:t>
      </w:r>
      <w:proofErr w:type="gramEnd"/>
      <w:r w:rsidRPr="00F00210">
        <w:t xml:space="preserve"> neighbourhoods - key step 2 - collaborate, plan, design</w:t>
      </w:r>
    </w:p>
    <w:p w14:paraId="0EC03C3C" w14:textId="77777777" w:rsidR="00F00210" w:rsidRDefault="00F00210" w:rsidP="00F00210">
      <w:r w:rsidRPr="00C42283">
        <w:br/>
      </w:r>
      <w:r w:rsidRPr="00C42283">
        <w:rPr>
          <w:b/>
          <w:bCs/>
        </w:rPr>
        <w:t>Key step 2: Collaborate, plan, design</w:t>
      </w:r>
      <w:r w:rsidRPr="00C42283">
        <w:t> - developing collaborative models of working to inform place-based planning and design processes.</w:t>
      </w:r>
    </w:p>
    <w:p w14:paraId="7FD37986" w14:textId="77777777" w:rsidR="00F00210" w:rsidRPr="00C42283" w:rsidRDefault="00F00210" w:rsidP="00F00210"/>
    <w:p w14:paraId="6EE9FE91" w14:textId="77777777" w:rsidR="00F00210" w:rsidRPr="00C42283" w:rsidRDefault="00F00210" w:rsidP="00F00210">
      <w:r w:rsidRPr="00C42283">
        <w:t xml:space="preserve">Land-use planning is a fundamental tool for embedding local living and </w:t>
      </w:r>
      <w:proofErr w:type="gramStart"/>
      <w:r w:rsidRPr="00C42283">
        <w:t>20 minute</w:t>
      </w:r>
      <w:proofErr w:type="gramEnd"/>
      <w:r w:rsidRPr="00C42283">
        <w:t xml:space="preserve"> neighbourhood principles in our places. National Planning Framework 4 (NPF4) provides a new approach to planning by combining the </w:t>
      </w:r>
      <w:proofErr w:type="gramStart"/>
      <w:r w:rsidRPr="00C42283">
        <w:t>long term</w:t>
      </w:r>
      <w:proofErr w:type="gramEnd"/>
      <w:r w:rsidRPr="00C42283">
        <w:t xml:space="preserve"> spatial strategy with national planning policies to form part of the statutory development plan.  </w:t>
      </w:r>
    </w:p>
    <w:p w14:paraId="21D7E84E" w14:textId="77777777" w:rsidR="00F00210" w:rsidRDefault="00F00210" w:rsidP="00F00210">
      <w:r w:rsidRPr="00C42283">
        <w:t xml:space="preserve">This section explains the context for the delivery of local living and </w:t>
      </w:r>
      <w:proofErr w:type="gramStart"/>
      <w:r w:rsidRPr="00C42283">
        <w:t>20 minute</w:t>
      </w:r>
      <w:proofErr w:type="gramEnd"/>
      <w:r w:rsidRPr="00C42283">
        <w:t xml:space="preserve"> neighbourhoods beyond planning mechanisms. </w:t>
      </w:r>
    </w:p>
    <w:p w14:paraId="72F7B3E7" w14:textId="77777777" w:rsidR="00F00210" w:rsidRPr="00C42283" w:rsidRDefault="00F00210" w:rsidP="00F00210"/>
    <w:p w14:paraId="23BD8E45" w14:textId="77777777" w:rsidR="00F00210" w:rsidRPr="00C42283" w:rsidRDefault="00F00210" w:rsidP="00F00210">
      <w:r w:rsidRPr="00C42283">
        <w:t xml:space="preserve">Local living requires input from a broad range of stakeholders and a cross sector commitment to collaborative working, informing </w:t>
      </w:r>
      <w:proofErr w:type="gramStart"/>
      <w:r w:rsidRPr="00C42283">
        <w:t>place based</w:t>
      </w:r>
      <w:proofErr w:type="gramEnd"/>
      <w:r w:rsidRPr="00C42283">
        <w:t xml:space="preserve"> planning and design. It involves coordination across investment plans and opportunities and the bringing together of the knowledge and skills of different organisations and sectors.</w:t>
      </w:r>
    </w:p>
    <w:p w14:paraId="7EC1BC13" w14:textId="3C3A92C0" w:rsidR="00C5211C" w:rsidRPr="00C06FF5" w:rsidRDefault="00C06FF5" w:rsidP="00C06FF5">
      <w:pPr>
        <w:spacing w:before="100" w:beforeAutospacing="1" w:after="240"/>
        <w:rPr>
          <w:rFonts w:cs="Arial"/>
          <w:szCs w:val="24"/>
          <w:lang w:eastAsia="en-GB"/>
        </w:rPr>
      </w:pPr>
      <w:r>
        <w:rPr>
          <w:rFonts w:cs="Arial"/>
          <w:szCs w:val="24"/>
          <w:lang w:eastAsia="en-GB"/>
        </w:rPr>
        <w:t>More information can be found in part 3 of the guidance document.</w:t>
      </w:r>
    </w:p>
    <w:p w14:paraId="19258ED6" w14:textId="77777777" w:rsidR="00C5211C" w:rsidRDefault="00C5211C" w:rsidP="006F4788">
      <w:pPr>
        <w:autoSpaceDE w:val="0"/>
        <w:autoSpaceDN w:val="0"/>
        <w:adjustRightInd w:val="0"/>
        <w:rPr>
          <w:rFonts w:cs="Arial"/>
          <w:b/>
          <w:bCs/>
          <w:szCs w:val="24"/>
        </w:rPr>
      </w:pPr>
    </w:p>
    <w:p w14:paraId="3429ED76"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helpful</w:t>
      </w:r>
    </w:p>
    <w:p w14:paraId="4787A6E0"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helpful</w:t>
      </w:r>
    </w:p>
    <w:p w14:paraId="3A19C581"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helpful </w:t>
      </w:r>
    </w:p>
    <w:p w14:paraId="09BAAF72" w14:textId="77777777" w:rsidR="00F00210" w:rsidRPr="007866B6" w:rsidRDefault="00F00210" w:rsidP="00F00210">
      <w:pPr>
        <w:autoSpaceDE w:val="0"/>
        <w:autoSpaceDN w:val="0"/>
        <w:adjustRightInd w:val="0"/>
        <w:spacing w:after="120"/>
        <w:rPr>
          <w:rFonts w:cs="Arial"/>
          <w:szCs w:val="24"/>
        </w:rPr>
      </w:pPr>
      <w:r w:rsidRPr="000D07C1">
        <w:rPr>
          <w:noProof/>
          <w:szCs w:val="24"/>
          <w:lang w:eastAsia="en-GB"/>
        </w:rPr>
        <w:lastRenderedPageBreak/>
        <mc:AlternateContent>
          <mc:Choice Requires="wps">
            <w:drawing>
              <wp:anchor distT="0" distB="0" distL="114300" distR="114300" simplePos="0" relativeHeight="251686912" behindDoc="0" locked="0" layoutInCell="1" allowOverlap="1" wp14:anchorId="59E96A20" wp14:editId="6A9932E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BBCB65C" w14:textId="77777777" w:rsidR="00F00210" w:rsidRDefault="00F00210" w:rsidP="00F002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6A20" id="Text Box 9" o:spid="_x0000_s1037" type="#_x0000_t202" style="position:absolute;margin-left:-.35pt;margin-top:22.7pt;width:468pt;height:10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4/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pF/WqoH4ixRCmjaQXREYH+Iuzgbax5P7nQaDizHy0pPomXy7j+l46eOlUl46wkqBK&#10;HjibzH2YVv7gULcdVZrmbOGWJtXopOFLV6f+aeOStKfXEVf60k9ZL2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2Ih+PxMCAAALBAAADgAAAAAAAAAAAAAAAAAuAgAAZHJzL2Uyb0RvYy54bWxQSwECLQAUAAYA&#10;CAAAACEA8mTKbOIAAAAIAQAADwAAAAAAAAAAAAAAAABtBAAAZHJzL2Rvd25yZXYueG1sUEsFBgAA&#10;AAAEAAQA8wAAAHwFAAAAAA==&#10;" filled="f">
                <v:textbox inset=",7.2pt,,7.2pt">
                  <w:txbxContent>
                    <w:p w14:paraId="0BBCB65C" w14:textId="77777777" w:rsidR="00F00210" w:rsidRDefault="00F00210" w:rsidP="00F00210"/>
                  </w:txbxContent>
                </v:textbox>
                <w10:wrap type="tight"/>
              </v:shape>
            </w:pict>
          </mc:Fallback>
        </mc:AlternateContent>
      </w:r>
      <w:r w:rsidRPr="007866B6">
        <w:rPr>
          <w:rFonts w:cs="Arial"/>
          <w:szCs w:val="24"/>
        </w:rPr>
        <w:t>Pleas</w:t>
      </w:r>
      <w:r>
        <w:rPr>
          <w:rFonts w:cs="Arial"/>
          <w:szCs w:val="24"/>
        </w:rPr>
        <w:t>e explain your response explaining what else could be helpful</w:t>
      </w:r>
    </w:p>
    <w:p w14:paraId="1CF9C577" w14:textId="35192C97" w:rsidR="00F00210" w:rsidRDefault="00F00210" w:rsidP="006F4788">
      <w:pPr>
        <w:autoSpaceDE w:val="0"/>
        <w:autoSpaceDN w:val="0"/>
        <w:adjustRightInd w:val="0"/>
        <w:rPr>
          <w:rFonts w:cs="Arial"/>
          <w:b/>
          <w:bCs/>
          <w:szCs w:val="24"/>
        </w:rPr>
      </w:pPr>
    </w:p>
    <w:p w14:paraId="121492E5" w14:textId="77777777" w:rsidR="00F00210" w:rsidRDefault="00F00210" w:rsidP="00F00210">
      <w:pPr>
        <w:rPr>
          <w:b/>
          <w:bCs/>
        </w:rPr>
      </w:pPr>
      <w:r w:rsidRPr="00E92A9B">
        <w:rPr>
          <w:b/>
          <w:bCs/>
        </w:rPr>
        <w:t>Q</w:t>
      </w:r>
      <w:r>
        <w:rPr>
          <w:b/>
          <w:bCs/>
        </w:rPr>
        <w:t xml:space="preserve">uestion </w:t>
      </w:r>
      <w:r w:rsidRPr="00E92A9B">
        <w:rPr>
          <w:b/>
          <w:bCs/>
        </w:rPr>
        <w:t>7</w:t>
      </w:r>
    </w:p>
    <w:p w14:paraId="5F5DB589" w14:textId="4575EB49" w:rsidR="00F00210" w:rsidRPr="00F00210" w:rsidRDefault="00F00210" w:rsidP="00F00210">
      <w:r w:rsidRPr="00F00210">
        <w:t>How helpful is the 'implement and review' section of part 3 in assisting the delivery of collaborative approaches to support local living?</w:t>
      </w:r>
    </w:p>
    <w:p w14:paraId="290A3890" w14:textId="77777777" w:rsidR="00F00210" w:rsidRDefault="00F00210" w:rsidP="00F00210"/>
    <w:p w14:paraId="0828C674" w14:textId="70F9143B" w:rsidR="00F00210" w:rsidRPr="00E92A9B" w:rsidRDefault="00F00210" w:rsidP="00F00210">
      <w:pPr>
        <w:spacing w:before="120" w:after="120"/>
        <w:outlineLvl w:val="1"/>
        <w:rPr>
          <w:rFonts w:cs="Arial"/>
          <w:b/>
          <w:bCs/>
          <w:szCs w:val="24"/>
          <w:lang w:eastAsia="en-GB"/>
        </w:rPr>
      </w:pPr>
      <w:r>
        <w:rPr>
          <w:rFonts w:cs="Arial"/>
          <w:b/>
          <w:bCs/>
          <w:szCs w:val="24"/>
          <w:lang w:eastAsia="en-GB"/>
        </w:rPr>
        <w:t>Additional Information</w:t>
      </w:r>
      <w:r w:rsidR="00C06FF5">
        <w:rPr>
          <w:rFonts w:cs="Arial"/>
          <w:b/>
          <w:bCs/>
          <w:szCs w:val="24"/>
          <w:lang w:eastAsia="en-GB"/>
        </w:rPr>
        <w:t xml:space="preserve"> for question 7</w:t>
      </w:r>
      <w:r>
        <w:rPr>
          <w:rFonts w:cs="Arial"/>
          <w:b/>
          <w:bCs/>
          <w:szCs w:val="24"/>
          <w:lang w:eastAsia="en-GB"/>
        </w:rPr>
        <w:t>:</w:t>
      </w:r>
    </w:p>
    <w:p w14:paraId="1F521753" w14:textId="672BA777" w:rsidR="00F00210" w:rsidRDefault="00F00210" w:rsidP="00F00210">
      <w:r w:rsidRPr="00F00210">
        <w:t xml:space="preserve">Part 3 - Ways to support local living and </w:t>
      </w:r>
      <w:proofErr w:type="gramStart"/>
      <w:r w:rsidRPr="00F00210">
        <w:t>20 minute</w:t>
      </w:r>
      <w:proofErr w:type="gramEnd"/>
      <w:r w:rsidRPr="00F00210">
        <w:t xml:space="preserve"> neighbourhoods - key step 3 - implement and review</w:t>
      </w:r>
    </w:p>
    <w:p w14:paraId="10C45E58" w14:textId="77777777" w:rsidR="00F00210" w:rsidRPr="00F00210" w:rsidRDefault="00F00210" w:rsidP="00F00210"/>
    <w:p w14:paraId="2B55940F" w14:textId="77777777" w:rsidR="00F00210" w:rsidRDefault="00F00210" w:rsidP="00F00210">
      <w:r w:rsidRPr="00E92A9B">
        <w:rPr>
          <w:b/>
          <w:bCs/>
        </w:rPr>
        <w:t>Key step 3: implement and review</w:t>
      </w:r>
      <w:r w:rsidRPr="00E92A9B">
        <w:t xml:space="preserve"> - aligning investment, developing delivery </w:t>
      </w:r>
      <w:proofErr w:type="gramStart"/>
      <w:r w:rsidRPr="00E92A9B">
        <w:t>capacity</w:t>
      </w:r>
      <w:proofErr w:type="gramEnd"/>
      <w:r w:rsidRPr="00E92A9B">
        <w:t xml:space="preserve"> and supporting new ways of working.</w:t>
      </w:r>
    </w:p>
    <w:p w14:paraId="0D1DD32D" w14:textId="77777777" w:rsidR="00F00210" w:rsidRPr="00E92A9B" w:rsidRDefault="00F00210" w:rsidP="00F00210"/>
    <w:p w14:paraId="4C3B2303" w14:textId="77777777" w:rsidR="00F00210" w:rsidRDefault="00F00210" w:rsidP="00F00210">
      <w:r w:rsidRPr="00E92A9B">
        <w:t>This is the stage at which the action identified in the previous steps could be taken forward or planned for.</w:t>
      </w:r>
      <w:r w:rsidRPr="00E92A9B">
        <w:br/>
      </w:r>
      <w:r w:rsidRPr="00E92A9B">
        <w:br/>
        <w:t>This section of the guidance explains that while a number of cross government policies, strategies and investments are aligned to support local living and 20 minute neighbourhoods, there needs to be a cross sectoral alignment of knowledge, skills and resources, local knowledge, insights and capacity to maximise the benefits of local living.</w:t>
      </w:r>
    </w:p>
    <w:p w14:paraId="13BB16BD" w14:textId="77777777" w:rsidR="00F00210" w:rsidRPr="00E92A9B" w:rsidRDefault="00F00210" w:rsidP="00F00210"/>
    <w:p w14:paraId="0B6412AD" w14:textId="77777777" w:rsidR="00F00210" w:rsidRPr="008D139E" w:rsidRDefault="00F00210" w:rsidP="00F00210">
      <w:pPr>
        <w:rPr>
          <w:rFonts w:ascii="Lato" w:hAnsi="Lato"/>
          <w:color w:val="333333"/>
          <w:sz w:val="21"/>
          <w:szCs w:val="21"/>
          <w:lang w:eastAsia="en-GB"/>
        </w:rPr>
      </w:pPr>
      <w:r w:rsidRPr="00E92A9B">
        <w:t xml:space="preserve">The 'trip chain' diagrams in this section demonstrate the issues that can arise for local services when decisions about key infrastructure are </w:t>
      </w:r>
      <w:proofErr w:type="gramStart"/>
      <w:r w:rsidRPr="00E92A9B">
        <w:t>made</w:t>
      </w:r>
      <w:proofErr w:type="gramEnd"/>
      <w:r w:rsidRPr="00E92A9B">
        <w:t xml:space="preserve"> and local living is not prioritised.</w:t>
      </w:r>
    </w:p>
    <w:p w14:paraId="21D065D6" w14:textId="409ACD15" w:rsidR="00F00210" w:rsidRPr="00C06FF5" w:rsidRDefault="00C06FF5" w:rsidP="00C06FF5">
      <w:pPr>
        <w:spacing w:before="100" w:beforeAutospacing="1" w:after="240"/>
        <w:rPr>
          <w:rFonts w:cs="Arial"/>
          <w:szCs w:val="24"/>
          <w:lang w:eastAsia="en-GB"/>
        </w:rPr>
      </w:pPr>
      <w:r>
        <w:rPr>
          <w:rFonts w:cs="Arial"/>
          <w:szCs w:val="24"/>
          <w:lang w:eastAsia="en-GB"/>
        </w:rPr>
        <w:t>More information can be found in part 3 of the guidance document.</w:t>
      </w:r>
    </w:p>
    <w:p w14:paraId="4B5B0609" w14:textId="7E0367D9" w:rsidR="00F00210" w:rsidRDefault="00F00210" w:rsidP="006F4788">
      <w:pPr>
        <w:autoSpaceDE w:val="0"/>
        <w:autoSpaceDN w:val="0"/>
        <w:adjustRightInd w:val="0"/>
        <w:rPr>
          <w:rFonts w:cs="Arial"/>
          <w:b/>
          <w:bCs/>
          <w:szCs w:val="24"/>
        </w:rPr>
      </w:pPr>
    </w:p>
    <w:p w14:paraId="2EACF98C"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Very helpful</w:t>
      </w:r>
    </w:p>
    <w:p w14:paraId="3CEE3295"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helpful</w:t>
      </w:r>
    </w:p>
    <w:p w14:paraId="19176199"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helpful </w:t>
      </w:r>
    </w:p>
    <w:p w14:paraId="3107F61C" w14:textId="77777777" w:rsidR="00F00210" w:rsidRPr="007866B6" w:rsidRDefault="00F00210" w:rsidP="00F00210">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8960" behindDoc="0" locked="0" layoutInCell="1" allowOverlap="1" wp14:anchorId="19796D9C" wp14:editId="626EC08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08F4882" w14:textId="77777777" w:rsidR="00F00210" w:rsidRDefault="00F00210" w:rsidP="00F002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6D9C" id="Text Box 10" o:spid="_x0000_s1038" type="#_x0000_t202" style="position:absolute;margin-left:-.35pt;margin-top:22.7pt;width:468pt;height:10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DR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kV6sEPWqoH4ixRCmjaQXREYH+Iuzgbax5P7nQaDizHy0pPomXy7j+l46eOlUl46wkqBK&#10;HjibzH2YVv7gULcdVZrmbOGWJtXopOFLV6f+aeOStKfXEVf60k9ZL2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eV0Q0RMCAAALBAAADgAAAAAAAAAAAAAAAAAuAgAAZHJzL2Uyb0RvYy54bWxQSwECLQAUAAYA&#10;CAAAACEA8mTKbOIAAAAIAQAADwAAAAAAAAAAAAAAAABtBAAAZHJzL2Rvd25yZXYueG1sUEsFBgAA&#10;AAAEAAQA8wAAAHwFAAAAAA==&#10;" filled="f">
                <v:textbox inset=",7.2pt,,7.2pt">
                  <w:txbxContent>
                    <w:p w14:paraId="008F4882" w14:textId="77777777" w:rsidR="00F00210" w:rsidRDefault="00F00210" w:rsidP="00F00210"/>
                  </w:txbxContent>
                </v:textbox>
                <w10:wrap type="tight"/>
              </v:shape>
            </w:pict>
          </mc:Fallback>
        </mc:AlternateContent>
      </w:r>
      <w:r w:rsidRPr="007866B6">
        <w:rPr>
          <w:rFonts w:cs="Arial"/>
          <w:szCs w:val="24"/>
        </w:rPr>
        <w:t>Pleas</w:t>
      </w:r>
      <w:r>
        <w:rPr>
          <w:rFonts w:cs="Arial"/>
          <w:szCs w:val="24"/>
        </w:rPr>
        <w:t>e explain your response explaining what else could be helpful</w:t>
      </w:r>
    </w:p>
    <w:p w14:paraId="52519857" w14:textId="77777777" w:rsidR="00C06FF5" w:rsidRDefault="00C06FF5" w:rsidP="00F00210">
      <w:pPr>
        <w:rPr>
          <w:b/>
          <w:bCs/>
        </w:rPr>
      </w:pPr>
    </w:p>
    <w:p w14:paraId="4516DE51" w14:textId="1D8D570F" w:rsidR="00F00210" w:rsidRDefault="00F00210" w:rsidP="00F00210">
      <w:pPr>
        <w:rPr>
          <w:b/>
          <w:bCs/>
          <w:lang w:eastAsia="en-GB"/>
        </w:rPr>
      </w:pPr>
      <w:r w:rsidRPr="00E92A9B">
        <w:rPr>
          <w:b/>
          <w:bCs/>
        </w:rPr>
        <w:t>Q</w:t>
      </w:r>
      <w:r>
        <w:rPr>
          <w:b/>
          <w:bCs/>
        </w:rPr>
        <w:t>uestion 8</w:t>
      </w:r>
      <w:r w:rsidRPr="00E92A9B">
        <w:rPr>
          <w:b/>
          <w:bCs/>
        </w:rPr>
        <w:t xml:space="preserve"> </w:t>
      </w:r>
      <w:r w:rsidRPr="00E92A9B">
        <w:rPr>
          <w:b/>
          <w:bCs/>
          <w:lang w:eastAsia="en-GB"/>
        </w:rPr>
        <w:t xml:space="preserve"> </w:t>
      </w:r>
    </w:p>
    <w:p w14:paraId="45182930" w14:textId="58FB8B2B" w:rsidR="00F00210" w:rsidRPr="00E92A9B" w:rsidRDefault="00F00210" w:rsidP="00F00210">
      <w:pPr>
        <w:rPr>
          <w:lang w:eastAsia="en-GB"/>
        </w:rPr>
      </w:pPr>
      <w:r w:rsidRPr="00E92A9B">
        <w:rPr>
          <w:lang w:eastAsia="en-GB"/>
        </w:rPr>
        <w:t>Looking at part 4 of the draft guidance: do the case studies provide a useful and appropriate range of examples of good practice?</w:t>
      </w:r>
    </w:p>
    <w:p w14:paraId="4AF0EC3B" w14:textId="77777777" w:rsidR="00F00210" w:rsidRPr="00E92A9B" w:rsidRDefault="00F00210" w:rsidP="00F00210">
      <w:pPr>
        <w:rPr>
          <w:lang w:eastAsia="en-GB"/>
        </w:rPr>
      </w:pPr>
    </w:p>
    <w:p w14:paraId="17A36C74" w14:textId="5C12C4CA" w:rsidR="00F00210" w:rsidRPr="00E92A9B" w:rsidRDefault="00F00210" w:rsidP="00F00210">
      <w:pPr>
        <w:rPr>
          <w:b/>
          <w:bCs/>
          <w:lang w:eastAsia="en-GB"/>
        </w:rPr>
      </w:pPr>
      <w:r w:rsidRPr="00E92A9B">
        <w:rPr>
          <w:b/>
          <w:bCs/>
          <w:lang w:eastAsia="en-GB"/>
        </w:rPr>
        <w:t>Additional Information</w:t>
      </w:r>
      <w:r w:rsidR="00C06FF5">
        <w:rPr>
          <w:b/>
          <w:bCs/>
          <w:lang w:eastAsia="en-GB"/>
        </w:rPr>
        <w:t xml:space="preserve"> for question 8</w:t>
      </w:r>
      <w:r w:rsidRPr="00E92A9B">
        <w:rPr>
          <w:b/>
          <w:bCs/>
          <w:lang w:eastAsia="en-GB"/>
        </w:rPr>
        <w:t>:</w:t>
      </w:r>
    </w:p>
    <w:p w14:paraId="3022B2B1" w14:textId="0D2648F7" w:rsidR="00C06FF5" w:rsidRDefault="00F00210" w:rsidP="00F00210">
      <w:pPr>
        <w:rPr>
          <w:lang w:eastAsia="en-GB"/>
        </w:rPr>
      </w:pPr>
      <w:r w:rsidRPr="00E92A9B">
        <w:rPr>
          <w:lang w:eastAsia="en-GB"/>
        </w:rPr>
        <w:t xml:space="preserve">The case studies in part 4 of the document are included to demonstrate real place-based action being undertaken that helps support local living and </w:t>
      </w:r>
      <w:proofErr w:type="gramStart"/>
      <w:r w:rsidRPr="00E92A9B">
        <w:rPr>
          <w:lang w:eastAsia="en-GB"/>
        </w:rPr>
        <w:t>20 minute</w:t>
      </w:r>
      <w:proofErr w:type="gramEnd"/>
      <w:r w:rsidRPr="00E92A9B">
        <w:rPr>
          <w:lang w:eastAsia="en-GB"/>
        </w:rPr>
        <w:t xml:space="preserve"> neighbourhood principles.</w:t>
      </w:r>
    </w:p>
    <w:p w14:paraId="056D8E18" w14:textId="58A478F1" w:rsidR="00C06FF5" w:rsidRPr="00E92A9B" w:rsidRDefault="00C06FF5" w:rsidP="00C06FF5">
      <w:pPr>
        <w:spacing w:before="100" w:beforeAutospacing="1" w:after="240"/>
        <w:rPr>
          <w:rFonts w:cs="Arial"/>
          <w:szCs w:val="24"/>
          <w:lang w:eastAsia="en-GB"/>
        </w:rPr>
      </w:pPr>
      <w:r>
        <w:rPr>
          <w:rFonts w:cs="Arial"/>
          <w:szCs w:val="24"/>
          <w:lang w:eastAsia="en-GB"/>
        </w:rPr>
        <w:t>More information can be found in part 4 of the guidance document.</w:t>
      </w:r>
    </w:p>
    <w:p w14:paraId="35057A0A" w14:textId="77777777" w:rsidR="00F00210" w:rsidRDefault="00F00210" w:rsidP="00F00210">
      <w:pPr>
        <w:rPr>
          <w:b/>
          <w:bCs/>
        </w:rPr>
      </w:pPr>
    </w:p>
    <w:p w14:paraId="0F7E9FD6" w14:textId="40D27F5C"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Pr>
          <w:rFonts w:cs="Arial"/>
          <w:szCs w:val="24"/>
        </w:rPr>
        <w:t>Very useful</w:t>
      </w:r>
    </w:p>
    <w:p w14:paraId="07C68E71"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Somewhat useful</w:t>
      </w:r>
    </w:p>
    <w:p w14:paraId="67533348" w14:textId="77777777" w:rsidR="00F00210" w:rsidRPr="007866B6" w:rsidRDefault="00F00210" w:rsidP="00F00210">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Not at all useful </w:t>
      </w:r>
    </w:p>
    <w:p w14:paraId="7DE32DC4" w14:textId="77777777" w:rsidR="00F00210" w:rsidRPr="007866B6" w:rsidRDefault="00F00210" w:rsidP="00F00210">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1008" behindDoc="0" locked="0" layoutInCell="1" allowOverlap="1" wp14:anchorId="0F5FA587" wp14:editId="635DE01E">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01165F6" w14:textId="77777777" w:rsidR="00F00210" w:rsidRDefault="00F00210" w:rsidP="00F002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A587" id="Text Box 18" o:spid="_x0000_s1039" type="#_x0000_t202" style="position:absolute;margin-left:-.35pt;margin-top:22.7pt;width:468pt;height:10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2RPlPRMCAAALBAAADgAAAAAAAAAAAAAAAAAuAgAAZHJzL2Uyb0RvYy54bWxQSwECLQAUAAYA&#10;CAAAACEA8mTKbOIAAAAIAQAADwAAAAAAAAAAAAAAAABtBAAAZHJzL2Rvd25yZXYueG1sUEsFBgAA&#10;AAAEAAQA8wAAAHwFAAAAAA==&#10;" filled="f">
                <v:textbox inset=",7.2pt,,7.2pt">
                  <w:txbxContent>
                    <w:p w14:paraId="701165F6" w14:textId="77777777" w:rsidR="00F00210" w:rsidRDefault="00F00210" w:rsidP="00F00210"/>
                  </w:txbxContent>
                </v:textbox>
                <w10:wrap type="tight"/>
              </v:shape>
            </w:pict>
          </mc:Fallback>
        </mc:AlternateContent>
      </w:r>
      <w:r w:rsidRPr="007866B6">
        <w:rPr>
          <w:rFonts w:cs="Arial"/>
          <w:szCs w:val="24"/>
        </w:rPr>
        <w:t>Pleas</w:t>
      </w:r>
      <w:r>
        <w:rPr>
          <w:rFonts w:cs="Arial"/>
          <w:szCs w:val="24"/>
        </w:rPr>
        <w:t>e explain your response explaining what else could be useful</w:t>
      </w:r>
    </w:p>
    <w:p w14:paraId="32044968" w14:textId="77777777" w:rsidR="00F82CED" w:rsidRDefault="00F82CED" w:rsidP="00F00210">
      <w:pPr>
        <w:rPr>
          <w:b/>
          <w:bCs/>
        </w:rPr>
      </w:pPr>
    </w:p>
    <w:p w14:paraId="41BDBC05" w14:textId="6980E6FB" w:rsidR="00F82CED" w:rsidRDefault="00F00210" w:rsidP="00F00210">
      <w:pPr>
        <w:rPr>
          <w:b/>
          <w:bCs/>
        </w:rPr>
      </w:pPr>
      <w:r w:rsidRPr="00E92A9B">
        <w:rPr>
          <w:b/>
          <w:bCs/>
        </w:rPr>
        <w:t>Q</w:t>
      </w:r>
      <w:r>
        <w:rPr>
          <w:b/>
          <w:bCs/>
        </w:rPr>
        <w:t>uestion 9</w:t>
      </w:r>
    </w:p>
    <w:p w14:paraId="115EAB5A" w14:textId="4CE3298C" w:rsidR="00F00210" w:rsidRPr="00F82CED" w:rsidRDefault="00F00210" w:rsidP="00F00210">
      <w:r w:rsidRPr="00F82CED">
        <w:t>Looking at the impact assessment update report: do you have any views about the initial conclusions of the impact assessment update report that accompany and inform this guidance?</w:t>
      </w:r>
    </w:p>
    <w:p w14:paraId="77E04547" w14:textId="77777777" w:rsidR="00F00210" w:rsidRDefault="00F00210" w:rsidP="00F00210"/>
    <w:p w14:paraId="71CEADB9" w14:textId="7F5485F6" w:rsidR="00F00210" w:rsidRPr="00E92A9B" w:rsidRDefault="00F00210" w:rsidP="00F00210">
      <w:pPr>
        <w:rPr>
          <w:b/>
          <w:bCs/>
          <w:lang w:eastAsia="en-GB"/>
        </w:rPr>
      </w:pPr>
      <w:r w:rsidRPr="00E92A9B">
        <w:rPr>
          <w:b/>
          <w:bCs/>
          <w:lang w:eastAsia="en-GB"/>
        </w:rPr>
        <w:t>Additional Information</w:t>
      </w:r>
      <w:r w:rsidR="00C06FF5">
        <w:rPr>
          <w:b/>
          <w:bCs/>
          <w:lang w:eastAsia="en-GB"/>
        </w:rPr>
        <w:t xml:space="preserve"> for question 9</w:t>
      </w:r>
      <w:r w:rsidRPr="00E92A9B">
        <w:rPr>
          <w:b/>
          <w:bCs/>
          <w:lang w:eastAsia="en-GB"/>
        </w:rPr>
        <w:t>:</w:t>
      </w:r>
    </w:p>
    <w:p w14:paraId="20EB9901" w14:textId="77777777" w:rsidR="00F00210" w:rsidRPr="00E92A9B" w:rsidRDefault="00F00210" w:rsidP="00F00210">
      <w:r w:rsidRPr="00E92A9B">
        <w:t>The impact assessment report update relates to the draft guidance on Local living and 20 Minute Neighbourhoods, produced to support the fourth National Planning Framework (NPF4).</w:t>
      </w:r>
    </w:p>
    <w:p w14:paraId="6BF85406" w14:textId="77777777" w:rsidR="00F82CED" w:rsidRDefault="00F82CED" w:rsidP="00F00210"/>
    <w:p w14:paraId="09598C84" w14:textId="26E2F5B1" w:rsidR="00F00210" w:rsidRDefault="00F00210" w:rsidP="00F00210">
      <w:r w:rsidRPr="00E92A9B">
        <w:t xml:space="preserve">Local Living and </w:t>
      </w:r>
      <w:proofErr w:type="gramStart"/>
      <w:r w:rsidRPr="00E92A9B">
        <w:t>20 minute</w:t>
      </w:r>
      <w:proofErr w:type="gramEnd"/>
      <w:r w:rsidRPr="00E92A9B">
        <w:t xml:space="preserve"> neighbourhoods are included within the policy framework of NPF4, adopted by Scottish Ministers on 13th February.  The concept of local living and </w:t>
      </w:r>
      <w:proofErr w:type="gramStart"/>
      <w:r w:rsidRPr="00E92A9B">
        <w:t>20 minute</w:t>
      </w:r>
      <w:proofErr w:type="gramEnd"/>
      <w:r w:rsidRPr="00E92A9B">
        <w:t xml:space="preserve"> neighbourhoods is intended to support places where people can meet the majority of their daily needs within a reasonable distance of their home, preferably through active travel modes or by public transport.</w:t>
      </w:r>
    </w:p>
    <w:p w14:paraId="4B704C90" w14:textId="77777777" w:rsidR="00F00210" w:rsidRPr="00E92A9B" w:rsidRDefault="00F00210" w:rsidP="00F00210"/>
    <w:p w14:paraId="2E361B63" w14:textId="77777777" w:rsidR="00F00210" w:rsidRDefault="00F00210" w:rsidP="00F00210">
      <w:r w:rsidRPr="00E92A9B">
        <w:t>NPF4 was the subject of extensive consultation and parliamentary scrutiny and an Integrated Impact Assessment (IIA), involving a number of statutory and non-statutory assessments, was prepared for NPF4 and is available on the </w:t>
      </w:r>
      <w:hyperlink r:id="rId11" w:history="1">
        <w:r w:rsidRPr="00E92A9B">
          <w:rPr>
            <w:rStyle w:val="Hyperlink"/>
          </w:rPr>
          <w:t>Transforming Planning</w:t>
        </w:r>
      </w:hyperlink>
      <w:r w:rsidRPr="00E92A9B">
        <w:t> website.   </w:t>
      </w:r>
    </w:p>
    <w:p w14:paraId="6CC56E18" w14:textId="77777777" w:rsidR="00F00210" w:rsidRPr="00E92A9B" w:rsidRDefault="00F00210" w:rsidP="00F00210"/>
    <w:p w14:paraId="6D1D7358" w14:textId="38C09DA0" w:rsidR="00F00210" w:rsidRDefault="00F00210" w:rsidP="00F00210">
      <w:r w:rsidRPr="00E92A9B">
        <w:t xml:space="preserve">The policy intent and outcomes for Local Living and </w:t>
      </w:r>
      <w:proofErr w:type="gramStart"/>
      <w:r w:rsidRPr="00E92A9B">
        <w:t>20 minute</w:t>
      </w:r>
      <w:proofErr w:type="gramEnd"/>
      <w:r w:rsidRPr="00E92A9B">
        <w:t xml:space="preserve"> neighbourhoods were included within this assessment process.  Therefore, the impact of the policy has already been assessed and this updated report summarises key content relevant to local living and </w:t>
      </w:r>
      <w:proofErr w:type="gramStart"/>
      <w:r w:rsidRPr="00E92A9B">
        <w:t>20 minute</w:t>
      </w:r>
      <w:proofErr w:type="gramEnd"/>
      <w:r w:rsidRPr="00E92A9B">
        <w:t xml:space="preserve"> neighbourhoods gathered as part of the previous impact assessment </w:t>
      </w:r>
      <w:r w:rsidRPr="00E92A9B">
        <w:lastRenderedPageBreak/>
        <w:t>process.  Additional content on the impacts of the draft guidance has been added where relevant or necessary.</w:t>
      </w:r>
    </w:p>
    <w:p w14:paraId="506BE86D" w14:textId="56C08D9D" w:rsidR="00C06FF5" w:rsidRDefault="00C06FF5" w:rsidP="00F00210"/>
    <w:p w14:paraId="3405AF14" w14:textId="5EBDB8A5" w:rsidR="00C06FF5" w:rsidRDefault="00C06FF5" w:rsidP="00F00210">
      <w:r>
        <w:t>Read the impact assessment update report.</w:t>
      </w:r>
    </w:p>
    <w:p w14:paraId="2F617E70" w14:textId="77777777" w:rsidR="00C06FF5" w:rsidRDefault="00C06FF5" w:rsidP="00F00210"/>
    <w:p w14:paraId="66CBCCCE" w14:textId="77777777" w:rsidR="00C06FF5" w:rsidRPr="00E92A9B" w:rsidRDefault="00C06FF5" w:rsidP="00F00210"/>
    <w:p w14:paraId="76720283" w14:textId="1A6C8823" w:rsidR="00F82CED" w:rsidRPr="007866B6" w:rsidRDefault="00F82CED" w:rsidP="00F82CED">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0ED75C65" w14:textId="2150BFD3" w:rsidR="00F82CED" w:rsidRPr="007866B6" w:rsidRDefault="00F82CED" w:rsidP="00F82CED">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No </w:t>
      </w:r>
    </w:p>
    <w:p w14:paraId="77004B75" w14:textId="2D882860" w:rsidR="00F82CED" w:rsidRPr="007866B6" w:rsidRDefault="00F82CED" w:rsidP="00F82CED">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3056" behindDoc="0" locked="0" layoutInCell="1" allowOverlap="1" wp14:anchorId="615BAD41" wp14:editId="15128A3B">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823C1E0" w14:textId="77777777" w:rsidR="00F82CED" w:rsidRDefault="00F82CED" w:rsidP="00F82C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AD41" id="Text Box 19" o:spid="_x0000_s1040" type="#_x0000_t202" style="position:absolute;margin-left:-.35pt;margin-top:22.7pt;width:468pt;height:10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zW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ZK0S9KqifSDGEaSPpBZHRAf7ibKBtLLn/eRCoODMfLam+yZfLuL6XDl461aUjrCSo&#10;kgfOJnMfppU/ONRtR5WmOVu4pUk1Omn40tWpf9q4JO3pdcSVvvRT1ssb3v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rwvNYUAgAACwQAAA4AAAAAAAAAAAAAAAAALgIAAGRycy9lMm9Eb2MueG1sUEsBAi0AFAAG&#10;AAgAAAAhAPJkymziAAAACAEAAA8AAAAAAAAAAAAAAAAAbgQAAGRycy9kb3ducmV2LnhtbFBLBQYA&#10;AAAABAAEAPMAAAB9BQAAAAA=&#10;" filled="f">
                <v:textbox inset=",7.2pt,,7.2pt">
                  <w:txbxContent>
                    <w:p w14:paraId="5823C1E0" w14:textId="77777777" w:rsidR="00F82CED" w:rsidRDefault="00F82CED" w:rsidP="00F82CED"/>
                  </w:txbxContent>
                </v:textbox>
                <w10:wrap type="tight"/>
              </v:shape>
            </w:pict>
          </mc:Fallback>
        </mc:AlternateContent>
      </w:r>
      <w:r w:rsidRPr="007866B6">
        <w:rPr>
          <w:rFonts w:cs="Arial"/>
          <w:szCs w:val="24"/>
        </w:rPr>
        <w:t>Pleas</w:t>
      </w:r>
      <w:r>
        <w:rPr>
          <w:rFonts w:cs="Arial"/>
          <w:szCs w:val="24"/>
        </w:rPr>
        <w:t>e tell us here</w:t>
      </w:r>
    </w:p>
    <w:p w14:paraId="73043365" w14:textId="77777777" w:rsidR="00F00210" w:rsidRDefault="00F00210" w:rsidP="006F4788">
      <w:pPr>
        <w:autoSpaceDE w:val="0"/>
        <w:autoSpaceDN w:val="0"/>
        <w:adjustRightInd w:val="0"/>
        <w:rPr>
          <w:rFonts w:cs="Arial"/>
          <w:b/>
          <w:bCs/>
          <w:szCs w:val="24"/>
        </w:rPr>
      </w:pPr>
    </w:p>
    <w:p w14:paraId="1147BE0A" w14:textId="77777777" w:rsidR="00C5211C" w:rsidRDefault="00C5211C" w:rsidP="006F4788">
      <w:pPr>
        <w:autoSpaceDE w:val="0"/>
        <w:autoSpaceDN w:val="0"/>
        <w:adjustRightInd w:val="0"/>
        <w:rPr>
          <w:rFonts w:cs="Arial"/>
          <w:b/>
          <w:bCs/>
          <w:szCs w:val="24"/>
        </w:rPr>
      </w:pPr>
    </w:p>
    <w:p w14:paraId="4251FF58" w14:textId="77777777" w:rsidR="00C06FF5" w:rsidRDefault="006F4788" w:rsidP="006F4788">
      <w:pPr>
        <w:autoSpaceDE w:val="0"/>
        <w:autoSpaceDN w:val="0"/>
        <w:adjustRightInd w:val="0"/>
        <w:rPr>
          <w:rFonts w:cs="Arial"/>
          <w:b/>
          <w:bCs/>
          <w:szCs w:val="24"/>
        </w:rPr>
      </w:pPr>
      <w:r w:rsidRPr="007866B6">
        <w:rPr>
          <w:rFonts w:cs="Arial"/>
          <w:b/>
          <w:bCs/>
          <w:szCs w:val="24"/>
        </w:rPr>
        <w:t xml:space="preserve">Question </w:t>
      </w:r>
      <w:r w:rsidR="00F82CED">
        <w:rPr>
          <w:rFonts w:cs="Arial"/>
          <w:b/>
          <w:bCs/>
          <w:szCs w:val="24"/>
        </w:rPr>
        <w:t>10</w:t>
      </w:r>
    </w:p>
    <w:p w14:paraId="29764A0F" w14:textId="3CAC8AB4" w:rsidR="006F4788" w:rsidRPr="00C06FF5" w:rsidRDefault="006F4788" w:rsidP="006F4788">
      <w:pPr>
        <w:autoSpaceDE w:val="0"/>
        <w:autoSpaceDN w:val="0"/>
        <w:adjustRightInd w:val="0"/>
        <w:rPr>
          <w:rFonts w:cs="Arial"/>
          <w:b/>
          <w:bCs/>
          <w:szCs w:val="24"/>
        </w:rPr>
      </w:pPr>
      <w:r w:rsidRPr="007866B6">
        <w:rPr>
          <w:rFonts w:cs="Arial"/>
          <w:szCs w:val="24"/>
        </w:rPr>
        <w:t>Please provide any further comments on the</w:t>
      </w:r>
      <w:r w:rsidR="00F82CED">
        <w:rPr>
          <w:rFonts w:cs="Arial"/>
          <w:szCs w:val="24"/>
        </w:rPr>
        <w:t xml:space="preserve"> draft guidance document </w:t>
      </w:r>
      <w:r w:rsidRPr="007866B6">
        <w:rPr>
          <w:rFonts w:cs="Arial"/>
          <w:szCs w:val="24"/>
        </w:rPr>
        <w:t>in the box below.</w:t>
      </w:r>
      <w:r w:rsidRPr="000D07C1">
        <w:rPr>
          <w:noProof/>
          <w:szCs w:val="24"/>
          <w:lang w:eastAsia="en-GB"/>
        </w:rPr>
        <mc:AlternateContent>
          <mc:Choice Requires="wps">
            <w:drawing>
              <wp:anchor distT="0" distB="0" distL="114300" distR="114300" simplePos="0" relativeHeight="251675648" behindDoc="0" locked="0" layoutInCell="1" allowOverlap="1" wp14:anchorId="49D017ED" wp14:editId="1D2C5D91">
                <wp:simplePos x="0" y="0"/>
                <wp:positionH relativeFrom="column">
                  <wp:posOffset>-4445</wp:posOffset>
                </wp:positionH>
                <wp:positionV relativeFrom="paragraph">
                  <wp:posOffset>288925</wp:posOffset>
                </wp:positionV>
                <wp:extent cx="5943600" cy="4328795"/>
                <wp:effectExtent l="0" t="0" r="12700" b="14605"/>
                <wp:wrapTight wrapText="bothSides">
                  <wp:wrapPolygon edited="0">
                    <wp:start x="0" y="0"/>
                    <wp:lineTo x="0" y="21610"/>
                    <wp:lineTo x="21600" y="21610"/>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2879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A729CD3"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17ED" id="Text Box 11" o:spid="_x0000_s1041" type="#_x0000_t202" style="position:absolute;margin-left:-.35pt;margin-top:22.75pt;width:468pt;height:34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" filled="f">
                <v:textbox inset=",7.2pt,,7.2pt">
                  <w:txbxContent>
                    <w:p w14:paraId="2A729CD3" w14:textId="77777777" w:rsidR="006F4788" w:rsidRDefault="006F4788" w:rsidP="006F4788"/>
                  </w:txbxContent>
                </v:textbox>
                <w10:wrap type="tight"/>
              </v:shape>
            </w:pict>
          </mc:Fallback>
        </mc:AlternateContent>
      </w:r>
    </w:p>
    <w:p w14:paraId="3A03FB10" w14:textId="77777777" w:rsidR="006F4788" w:rsidRPr="00DE49C4" w:rsidRDefault="006F4788" w:rsidP="006F4788">
      <w:pPr>
        <w:rPr>
          <w:rFonts w:cs="Arial"/>
          <w:szCs w:val="24"/>
        </w:rPr>
      </w:pPr>
    </w:p>
    <w:p w14:paraId="03DF2FFE" w14:textId="2440D8ED"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53168E69" w14:textId="02C6BE67" w:rsidR="007866B6" w:rsidRPr="006E292F" w:rsidRDefault="007866B6" w:rsidP="00DE49C4">
      <w:pPr>
        <w:rPr>
          <w:rFonts w:eastAsia="Calibri" w:cs="Arial"/>
          <w:szCs w:val="24"/>
          <w:lang w:eastAsia="en-GB"/>
        </w:rPr>
      </w:pPr>
    </w:p>
    <w:sectPr w:rsidR="007866B6" w:rsidRPr="006E292F"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7545" w14:textId="77777777" w:rsidR="00B77E46" w:rsidRDefault="00B77E46" w:rsidP="00E80084">
      <w:r>
        <w:separator/>
      </w:r>
    </w:p>
  </w:endnote>
  <w:endnote w:type="continuationSeparator" w:id="0">
    <w:p w14:paraId="1D81D353" w14:textId="77777777" w:rsidR="00B77E46" w:rsidRDefault="00B77E46"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DA7A" w14:textId="77777777" w:rsidR="00B77E46" w:rsidRDefault="00B77E46" w:rsidP="00E80084">
      <w:r>
        <w:separator/>
      </w:r>
    </w:p>
  </w:footnote>
  <w:footnote w:type="continuationSeparator" w:id="0">
    <w:p w14:paraId="0C91EF98" w14:textId="77777777" w:rsidR="00B77E46" w:rsidRDefault="00B77E46"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D7138"/>
    <w:multiLevelType w:val="hybridMultilevel"/>
    <w:tmpl w:val="7A187E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037955">
    <w:abstractNumId w:val="20"/>
  </w:num>
  <w:num w:numId="2" w16cid:durableId="403914085">
    <w:abstractNumId w:val="0"/>
  </w:num>
  <w:num w:numId="3" w16cid:durableId="523982233">
    <w:abstractNumId w:val="0"/>
  </w:num>
  <w:num w:numId="4" w16cid:durableId="281768307">
    <w:abstractNumId w:val="0"/>
  </w:num>
  <w:num w:numId="5" w16cid:durableId="1909069693">
    <w:abstractNumId w:val="20"/>
  </w:num>
  <w:num w:numId="6" w16cid:durableId="303127155">
    <w:abstractNumId w:val="0"/>
  </w:num>
  <w:num w:numId="7" w16cid:durableId="2079740259">
    <w:abstractNumId w:val="23"/>
  </w:num>
  <w:num w:numId="8" w16cid:durableId="610162803">
    <w:abstractNumId w:val="5"/>
  </w:num>
  <w:num w:numId="9" w16cid:durableId="814490498">
    <w:abstractNumId w:val="19"/>
  </w:num>
  <w:num w:numId="10" w16cid:durableId="1201894987">
    <w:abstractNumId w:val="15"/>
  </w:num>
  <w:num w:numId="11" w16cid:durableId="1759641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9660559">
    <w:abstractNumId w:val="7"/>
  </w:num>
  <w:num w:numId="13" w16cid:durableId="494565451">
    <w:abstractNumId w:val="8"/>
  </w:num>
  <w:num w:numId="14" w16cid:durableId="406995672">
    <w:abstractNumId w:val="6"/>
  </w:num>
  <w:num w:numId="15" w16cid:durableId="1762601920">
    <w:abstractNumId w:val="4"/>
  </w:num>
  <w:num w:numId="16" w16cid:durableId="1201355213">
    <w:abstractNumId w:val="13"/>
  </w:num>
  <w:num w:numId="17" w16cid:durableId="63072627">
    <w:abstractNumId w:val="12"/>
  </w:num>
  <w:num w:numId="18" w16cid:durableId="1901204651">
    <w:abstractNumId w:val="26"/>
  </w:num>
  <w:num w:numId="19" w16cid:durableId="1603803068">
    <w:abstractNumId w:val="2"/>
  </w:num>
  <w:num w:numId="20" w16cid:durableId="2001810060">
    <w:abstractNumId w:val="21"/>
  </w:num>
  <w:num w:numId="21" w16cid:durableId="998189812">
    <w:abstractNumId w:val="17"/>
  </w:num>
  <w:num w:numId="22" w16cid:durableId="2105684128">
    <w:abstractNumId w:val="18"/>
  </w:num>
  <w:num w:numId="23" w16cid:durableId="1860965811">
    <w:abstractNumId w:val="25"/>
  </w:num>
  <w:num w:numId="24" w16cid:durableId="1381855476">
    <w:abstractNumId w:val="22"/>
  </w:num>
  <w:num w:numId="25" w16cid:durableId="1028726615">
    <w:abstractNumId w:val="9"/>
  </w:num>
  <w:num w:numId="26" w16cid:durableId="877281032">
    <w:abstractNumId w:val="1"/>
  </w:num>
  <w:num w:numId="27" w16cid:durableId="1082141685">
    <w:abstractNumId w:val="14"/>
  </w:num>
  <w:num w:numId="28" w16cid:durableId="607274335">
    <w:abstractNumId w:val="3"/>
  </w:num>
  <w:num w:numId="29" w16cid:durableId="1978952332">
    <w:abstractNumId w:val="11"/>
  </w:num>
  <w:num w:numId="30" w16cid:durableId="1388803650">
    <w:abstractNumId w:val="10"/>
  </w:num>
  <w:num w:numId="31" w16cid:durableId="7903670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7A98"/>
    <w:rsid w:val="00027C27"/>
    <w:rsid w:val="00063DD5"/>
    <w:rsid w:val="00071910"/>
    <w:rsid w:val="00091704"/>
    <w:rsid w:val="000B2B1A"/>
    <w:rsid w:val="000B7C23"/>
    <w:rsid w:val="000C0CF4"/>
    <w:rsid w:val="000D0AAF"/>
    <w:rsid w:val="000D1B3A"/>
    <w:rsid w:val="000D45C2"/>
    <w:rsid w:val="000F03BF"/>
    <w:rsid w:val="00132FE9"/>
    <w:rsid w:val="0014042E"/>
    <w:rsid w:val="001643DC"/>
    <w:rsid w:val="00173680"/>
    <w:rsid w:val="001836CE"/>
    <w:rsid w:val="001874BF"/>
    <w:rsid w:val="0019036C"/>
    <w:rsid w:val="001904B6"/>
    <w:rsid w:val="001906B3"/>
    <w:rsid w:val="00190889"/>
    <w:rsid w:val="001A4D5B"/>
    <w:rsid w:val="001C6B68"/>
    <w:rsid w:val="001D01C1"/>
    <w:rsid w:val="001D4A0F"/>
    <w:rsid w:val="001D7A90"/>
    <w:rsid w:val="001E0A9B"/>
    <w:rsid w:val="001F3E16"/>
    <w:rsid w:val="002111EE"/>
    <w:rsid w:val="00216BA9"/>
    <w:rsid w:val="00226516"/>
    <w:rsid w:val="0023072C"/>
    <w:rsid w:val="00234946"/>
    <w:rsid w:val="00234D9C"/>
    <w:rsid w:val="0023710B"/>
    <w:rsid w:val="002461F4"/>
    <w:rsid w:val="00254EF3"/>
    <w:rsid w:val="002612A5"/>
    <w:rsid w:val="00281579"/>
    <w:rsid w:val="002D55E5"/>
    <w:rsid w:val="002E55D0"/>
    <w:rsid w:val="002F7F87"/>
    <w:rsid w:val="00306C61"/>
    <w:rsid w:val="00310BC5"/>
    <w:rsid w:val="00330D78"/>
    <w:rsid w:val="00345711"/>
    <w:rsid w:val="003532A7"/>
    <w:rsid w:val="00353CDF"/>
    <w:rsid w:val="00357E71"/>
    <w:rsid w:val="00360B2D"/>
    <w:rsid w:val="003642F0"/>
    <w:rsid w:val="0037582B"/>
    <w:rsid w:val="003772E4"/>
    <w:rsid w:val="003835A4"/>
    <w:rsid w:val="0039197E"/>
    <w:rsid w:val="003B2530"/>
    <w:rsid w:val="003B2833"/>
    <w:rsid w:val="003B318E"/>
    <w:rsid w:val="003E4DAA"/>
    <w:rsid w:val="003F5811"/>
    <w:rsid w:val="00413BA5"/>
    <w:rsid w:val="00413BE9"/>
    <w:rsid w:val="004315F5"/>
    <w:rsid w:val="00435118"/>
    <w:rsid w:val="00451FA5"/>
    <w:rsid w:val="00470123"/>
    <w:rsid w:val="004A040C"/>
    <w:rsid w:val="004D053A"/>
    <w:rsid w:val="004D2758"/>
    <w:rsid w:val="004E38E3"/>
    <w:rsid w:val="004E7D7D"/>
    <w:rsid w:val="004F39CA"/>
    <w:rsid w:val="005002FF"/>
    <w:rsid w:val="005015BF"/>
    <w:rsid w:val="00514BF6"/>
    <w:rsid w:val="0052066A"/>
    <w:rsid w:val="00521997"/>
    <w:rsid w:val="00541638"/>
    <w:rsid w:val="005554A4"/>
    <w:rsid w:val="00560DB7"/>
    <w:rsid w:val="00573C5C"/>
    <w:rsid w:val="00577E45"/>
    <w:rsid w:val="005A262E"/>
    <w:rsid w:val="005E0022"/>
    <w:rsid w:val="005E2719"/>
    <w:rsid w:val="005E323A"/>
    <w:rsid w:val="005F3687"/>
    <w:rsid w:val="005F4D2B"/>
    <w:rsid w:val="005F5D26"/>
    <w:rsid w:val="006042F6"/>
    <w:rsid w:val="00630594"/>
    <w:rsid w:val="00630AAA"/>
    <w:rsid w:val="006458C3"/>
    <w:rsid w:val="00650F69"/>
    <w:rsid w:val="00656198"/>
    <w:rsid w:val="00667154"/>
    <w:rsid w:val="006847FF"/>
    <w:rsid w:val="006873C2"/>
    <w:rsid w:val="006B3094"/>
    <w:rsid w:val="006E15EA"/>
    <w:rsid w:val="006E292F"/>
    <w:rsid w:val="006E2DD4"/>
    <w:rsid w:val="006E5FB1"/>
    <w:rsid w:val="006F41C6"/>
    <w:rsid w:val="006F4788"/>
    <w:rsid w:val="00721BFD"/>
    <w:rsid w:val="00733D42"/>
    <w:rsid w:val="007610CF"/>
    <w:rsid w:val="00783B3C"/>
    <w:rsid w:val="007866B6"/>
    <w:rsid w:val="007A214A"/>
    <w:rsid w:val="007B278F"/>
    <w:rsid w:val="007B7395"/>
    <w:rsid w:val="007D191B"/>
    <w:rsid w:val="007D3E3A"/>
    <w:rsid w:val="007D5F2E"/>
    <w:rsid w:val="007E008C"/>
    <w:rsid w:val="007E1B7C"/>
    <w:rsid w:val="007E2976"/>
    <w:rsid w:val="007F748C"/>
    <w:rsid w:val="007F759D"/>
    <w:rsid w:val="0080278A"/>
    <w:rsid w:val="00812B8C"/>
    <w:rsid w:val="00824B03"/>
    <w:rsid w:val="00832933"/>
    <w:rsid w:val="00835703"/>
    <w:rsid w:val="00852659"/>
    <w:rsid w:val="00852FD2"/>
    <w:rsid w:val="00857548"/>
    <w:rsid w:val="008600EA"/>
    <w:rsid w:val="00866E25"/>
    <w:rsid w:val="0089645B"/>
    <w:rsid w:val="008A67C7"/>
    <w:rsid w:val="008B40C9"/>
    <w:rsid w:val="008B5273"/>
    <w:rsid w:val="008E4EA4"/>
    <w:rsid w:val="008F545F"/>
    <w:rsid w:val="009005EB"/>
    <w:rsid w:val="00912C62"/>
    <w:rsid w:val="0091721E"/>
    <w:rsid w:val="009319E5"/>
    <w:rsid w:val="00953D4E"/>
    <w:rsid w:val="0096303D"/>
    <w:rsid w:val="00982BB6"/>
    <w:rsid w:val="00985B86"/>
    <w:rsid w:val="009915F4"/>
    <w:rsid w:val="009A0C37"/>
    <w:rsid w:val="009A42F3"/>
    <w:rsid w:val="009A44CD"/>
    <w:rsid w:val="009B6FE0"/>
    <w:rsid w:val="009B7615"/>
    <w:rsid w:val="009C0973"/>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B455D"/>
    <w:rsid w:val="00AC58C3"/>
    <w:rsid w:val="00AD4257"/>
    <w:rsid w:val="00B06E12"/>
    <w:rsid w:val="00B167C2"/>
    <w:rsid w:val="00B16800"/>
    <w:rsid w:val="00B17537"/>
    <w:rsid w:val="00B235F2"/>
    <w:rsid w:val="00B23B7F"/>
    <w:rsid w:val="00B449EB"/>
    <w:rsid w:val="00B46C7A"/>
    <w:rsid w:val="00B51BDC"/>
    <w:rsid w:val="00B560C2"/>
    <w:rsid w:val="00B561C0"/>
    <w:rsid w:val="00B73475"/>
    <w:rsid w:val="00B773CE"/>
    <w:rsid w:val="00B77E46"/>
    <w:rsid w:val="00B87036"/>
    <w:rsid w:val="00B87DEE"/>
    <w:rsid w:val="00B90672"/>
    <w:rsid w:val="00B94BE1"/>
    <w:rsid w:val="00BA0287"/>
    <w:rsid w:val="00BA141A"/>
    <w:rsid w:val="00BA187C"/>
    <w:rsid w:val="00BA7D4C"/>
    <w:rsid w:val="00BB5256"/>
    <w:rsid w:val="00BD6827"/>
    <w:rsid w:val="00BF0711"/>
    <w:rsid w:val="00BF0F49"/>
    <w:rsid w:val="00BF16B1"/>
    <w:rsid w:val="00C06FF5"/>
    <w:rsid w:val="00C1429F"/>
    <w:rsid w:val="00C20AE9"/>
    <w:rsid w:val="00C41DF8"/>
    <w:rsid w:val="00C420E8"/>
    <w:rsid w:val="00C5211C"/>
    <w:rsid w:val="00C65988"/>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02DE4"/>
    <w:rsid w:val="00D221C7"/>
    <w:rsid w:val="00D2505A"/>
    <w:rsid w:val="00D36CD2"/>
    <w:rsid w:val="00D379E5"/>
    <w:rsid w:val="00D47809"/>
    <w:rsid w:val="00D60B28"/>
    <w:rsid w:val="00D7734C"/>
    <w:rsid w:val="00D85219"/>
    <w:rsid w:val="00D95B1B"/>
    <w:rsid w:val="00DC4C47"/>
    <w:rsid w:val="00DC7F2C"/>
    <w:rsid w:val="00DE49C4"/>
    <w:rsid w:val="00DE7FC5"/>
    <w:rsid w:val="00E01668"/>
    <w:rsid w:val="00E16DFB"/>
    <w:rsid w:val="00E25957"/>
    <w:rsid w:val="00E34803"/>
    <w:rsid w:val="00E410F5"/>
    <w:rsid w:val="00E5328D"/>
    <w:rsid w:val="00E53FAF"/>
    <w:rsid w:val="00E57D7D"/>
    <w:rsid w:val="00E72448"/>
    <w:rsid w:val="00E80084"/>
    <w:rsid w:val="00E8425D"/>
    <w:rsid w:val="00EB025E"/>
    <w:rsid w:val="00EB7AA3"/>
    <w:rsid w:val="00EC2074"/>
    <w:rsid w:val="00ED258D"/>
    <w:rsid w:val="00EE3A40"/>
    <w:rsid w:val="00F00210"/>
    <w:rsid w:val="00F664AA"/>
    <w:rsid w:val="00F7015C"/>
    <w:rsid w:val="00F7535A"/>
    <w:rsid w:val="00F82CED"/>
    <w:rsid w:val="00F86649"/>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F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formingplanning.scot/national-planning-framework/integrated-impact-assessment/" TargetMode="Externa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1C8C6C-55C7-440C-BBA9-A68C536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Susan Cochrane</cp:lastModifiedBy>
  <cp:revision>2</cp:revision>
  <cp:lastPrinted>2020-03-05T16:49:00Z</cp:lastPrinted>
  <dcterms:created xsi:type="dcterms:W3CDTF">2023-04-26T14:51:00Z</dcterms:created>
  <dcterms:modified xsi:type="dcterms:W3CDTF">2023-04-26T14:51:00Z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2020-12-15T08:14:24Z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2020-12-15T09:06:04Z</vt:filetime>
  </property>
  <property fmtid="{D5CDD505-2E9C-101B-9397-08002B2CF9AE}" pid="10" name="Objective-ModificationStamp">
    <vt:filetime>2020-12-15T09:06:04Z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