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1E2C1C" w:rsidP="00E36759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Guidance for completion of </w:t>
      </w:r>
      <w:r w:rsidRPr="00767879">
        <w:rPr>
          <w:rFonts w:cs="Arial"/>
          <w:b/>
          <w:color w:val="000000"/>
        </w:rPr>
        <w:t>Surveillance Frequency Form (</w:t>
      </w:r>
      <w:r>
        <w:rPr>
          <w:rFonts w:cs="Arial"/>
          <w:b/>
          <w:color w:val="000000"/>
        </w:rPr>
        <w:t>Shellf</w:t>
      </w:r>
      <w:r w:rsidRPr="00767879">
        <w:rPr>
          <w:rFonts w:cs="Arial"/>
          <w:b/>
          <w:color w:val="000000"/>
        </w:rPr>
        <w:t>ish)</w:t>
      </w:r>
    </w:p>
    <w:p w:rsidR="001E2C1C" w:rsidRDefault="001E2C1C" w:rsidP="00E36759">
      <w:pPr>
        <w:rPr>
          <w:rFonts w:cs="Arial"/>
          <w:b/>
          <w:color w:val="000000"/>
        </w:rPr>
      </w:pPr>
    </w:p>
    <w:p w:rsidR="001E2C1C" w:rsidRPr="00E43A77" w:rsidRDefault="001E2C1C" w:rsidP="001E2C1C">
      <w:pPr>
        <w:rPr>
          <w:rFonts w:cs="Arial"/>
          <w:b/>
          <w:color w:val="000000"/>
        </w:rPr>
      </w:pPr>
      <w:r w:rsidRPr="00E43A77">
        <w:rPr>
          <w:rFonts w:cs="Arial"/>
          <w:color w:val="000000"/>
        </w:rPr>
        <w:t xml:space="preserve">An expert group identified disease risks in relation to risk based surveillance and frequency of inspections.  The FHI has assessed those risks for all </w:t>
      </w:r>
      <w:r>
        <w:rPr>
          <w:rFonts w:cs="Arial"/>
          <w:color w:val="000000"/>
        </w:rPr>
        <w:t>shell</w:t>
      </w:r>
      <w:r w:rsidRPr="00E43A77">
        <w:rPr>
          <w:rFonts w:cs="Arial"/>
          <w:color w:val="000000"/>
        </w:rPr>
        <w:t>fish farm sites for the purpose of drawing up a Scottish surveillance programme and schedule of visits.</w:t>
      </w:r>
    </w:p>
    <w:p w:rsidR="001E2C1C" w:rsidRPr="00E43A77" w:rsidRDefault="001E2C1C" w:rsidP="001E2C1C">
      <w:pPr>
        <w:rPr>
          <w:rFonts w:cs="Arial"/>
          <w:b/>
          <w:color w:val="000000"/>
        </w:rPr>
      </w:pPr>
    </w:p>
    <w:p w:rsidR="001E2C1C" w:rsidRDefault="001E2C1C" w:rsidP="001E2C1C">
      <w:pPr>
        <w:rPr>
          <w:rFonts w:cs="Arial"/>
          <w:color w:val="000000"/>
        </w:rPr>
      </w:pPr>
      <w:r w:rsidRPr="00E43A77">
        <w:rPr>
          <w:rFonts w:cs="Arial"/>
          <w:color w:val="000000"/>
        </w:rPr>
        <w:t xml:space="preserve">A </w:t>
      </w:r>
      <w:r w:rsidRPr="00767879">
        <w:rPr>
          <w:rFonts w:cs="Arial"/>
          <w:color w:val="000000"/>
        </w:rPr>
        <w:t>Surveillance Frequency Form (</w:t>
      </w:r>
      <w:r>
        <w:rPr>
          <w:rFonts w:cs="Arial"/>
          <w:color w:val="000000"/>
        </w:rPr>
        <w:t>Shellf</w:t>
      </w:r>
      <w:r w:rsidRPr="00767879">
        <w:rPr>
          <w:rFonts w:cs="Arial"/>
          <w:color w:val="000000"/>
        </w:rPr>
        <w:t>ish)</w:t>
      </w:r>
      <w:r w:rsidRPr="00E43A77">
        <w:rPr>
          <w:rFonts w:cs="Arial"/>
          <w:color w:val="000000"/>
        </w:rPr>
        <w:t xml:space="preserve"> is required to be completed during site visits to fish farm sites. A site assessment can be amended on receipt of intelligence or up to date information which could change the </w:t>
      </w:r>
      <w:r>
        <w:rPr>
          <w:rFonts w:cs="Arial"/>
          <w:color w:val="000000"/>
        </w:rPr>
        <w:t>surveillance frequency</w:t>
      </w:r>
      <w:r w:rsidRPr="00E43A77">
        <w:rPr>
          <w:rFonts w:cs="Arial"/>
          <w:color w:val="000000"/>
        </w:rPr>
        <w:t xml:space="preserve"> (e.g. new farm importing live fish or eggs). </w:t>
      </w:r>
    </w:p>
    <w:p w:rsidR="001E2C1C" w:rsidRDefault="001E2C1C" w:rsidP="00E36759"/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  <w:u w:val="single"/>
        </w:rPr>
      </w:pPr>
      <w:r w:rsidRPr="008A7041">
        <w:rPr>
          <w:rFonts w:cs="Arial"/>
          <w:color w:val="000000"/>
          <w:u w:val="single"/>
        </w:rPr>
        <w:t>Number of Susceptible species on site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</w:rPr>
        <w:t>It is only necessary to complete the surveillance frequency assessment if species susceptible to listed diseases are held on site (</w:t>
      </w:r>
      <w:r w:rsidRPr="008A7041">
        <w:rPr>
          <w:rFonts w:cs="Arial"/>
          <w:i/>
          <w:color w:val="000000"/>
        </w:rPr>
        <w:t>Ostrea edulis, Mytilus edulis, Crassostrea gigas</w:t>
      </w:r>
      <w:r w:rsidRPr="008A7041">
        <w:rPr>
          <w:rFonts w:cs="Arial"/>
          <w:color w:val="000000"/>
        </w:rPr>
        <w:t xml:space="preserve">). If none of these species are held on site the site is automatically LOW surveillance frequency and the remaining questions can be left blank. 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</w:p>
    <w:p w:rsidR="001E2C1C" w:rsidRDefault="004E5E89" w:rsidP="004E5E89">
      <w:pPr>
        <w:rPr>
          <w:rFonts w:cs="Arial"/>
          <w:color w:val="000000"/>
        </w:rPr>
      </w:pPr>
      <w:r w:rsidRPr="008A7041">
        <w:rPr>
          <w:rFonts w:cs="Arial"/>
          <w:color w:val="000000"/>
        </w:rPr>
        <w:t>If the species present are susceptible to more than one of the listed diseases, they should be scored for each disease</w:t>
      </w:r>
      <w:r>
        <w:rPr>
          <w:rFonts w:cs="Arial"/>
          <w:color w:val="000000"/>
        </w:rPr>
        <w:t>.</w:t>
      </w:r>
    </w:p>
    <w:p w:rsidR="004E5E89" w:rsidRDefault="004E5E89" w:rsidP="004E5E89">
      <w:pPr>
        <w:rPr>
          <w:rFonts w:cs="Arial"/>
          <w:color w:val="000000"/>
        </w:rPr>
      </w:pP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  <w:u w:val="single"/>
        </w:rPr>
        <w:t>Sites within a tidal excursion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</w:p>
    <w:p w:rsidR="004E5E89" w:rsidRDefault="004E5E89" w:rsidP="004E5E89">
      <w:pPr>
        <w:rPr>
          <w:rFonts w:cs="Arial"/>
          <w:color w:val="000000"/>
        </w:rPr>
      </w:pPr>
      <w:r w:rsidRPr="008A7041">
        <w:rPr>
          <w:rFonts w:cs="Arial"/>
          <w:color w:val="000000"/>
        </w:rPr>
        <w:t xml:space="preserve">All sites within a tidal excursion of the site being scored are checked to determine what species are held. The number of sites holding susceptible species is counted and scored accordingly. Tidal excursion distances – Shetland </w:t>
      </w:r>
      <w:proofErr w:type="spellStart"/>
      <w:r w:rsidRPr="008A7041">
        <w:rPr>
          <w:rFonts w:cs="Arial"/>
          <w:color w:val="000000"/>
        </w:rPr>
        <w:t>3.629km</w:t>
      </w:r>
      <w:proofErr w:type="spellEnd"/>
      <w:r w:rsidRPr="008A7041">
        <w:rPr>
          <w:rFonts w:cs="Arial"/>
          <w:color w:val="000000"/>
        </w:rPr>
        <w:t xml:space="preserve">, elsewhere </w:t>
      </w:r>
      <w:proofErr w:type="spellStart"/>
      <w:r w:rsidRPr="008A7041">
        <w:rPr>
          <w:rFonts w:cs="Arial"/>
          <w:color w:val="000000"/>
        </w:rPr>
        <w:t>7.258km</w:t>
      </w:r>
      <w:proofErr w:type="spellEnd"/>
      <w:r w:rsidRPr="008A7041">
        <w:rPr>
          <w:rFonts w:cs="Arial"/>
          <w:color w:val="000000"/>
        </w:rPr>
        <w:t>.</w:t>
      </w:r>
    </w:p>
    <w:p w:rsidR="004E5E89" w:rsidRDefault="004E5E89" w:rsidP="004E5E89">
      <w:pPr>
        <w:rPr>
          <w:rFonts w:cs="Arial"/>
          <w:color w:val="000000"/>
        </w:rPr>
      </w:pP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  <w:u w:val="single"/>
        </w:rPr>
      </w:pPr>
      <w:r w:rsidRPr="008A7041">
        <w:rPr>
          <w:rFonts w:cs="Arial"/>
          <w:color w:val="000000"/>
          <w:u w:val="single"/>
        </w:rPr>
        <w:t>Live shellfish movements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  <w:u w:val="single"/>
        </w:rPr>
      </w:pP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  <w:u w:val="single"/>
        </w:rPr>
        <w:t>Movements on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</w:rPr>
        <w:t xml:space="preserve">This section only applies to introductions into Great Britain of species susceptible to the diseases listed in Part II, Annex IV of Commission Decision 2006/88/EC, as amended and emerging diseases. Movements should be checked for the previous 12 months. 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</w:rPr>
        <w:t xml:space="preserve">If a farm has only introduced live shellfish from a Member State of equivalent status then they would only score in Q1. 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</w:rPr>
        <w:t xml:space="preserve">If a farm has introduced live shellfish from a zone or compartment of equivalent status then they would only score in Q2. This applies to third country imports as well as where only part of a Member state is approved. 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</w:rPr>
        <w:t>If a farm has introduced live shellfish from both a zone or compartment and a Member State of equal status then they would only score in Q2 as this is the higher risk category.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</w:p>
    <w:p w:rsidR="004E5E89" w:rsidRDefault="004E5E89" w:rsidP="004E5E89">
      <w:pPr>
        <w:rPr>
          <w:rFonts w:cs="Arial"/>
          <w:color w:val="000000"/>
        </w:rPr>
      </w:pPr>
      <w:r w:rsidRPr="008A7041">
        <w:rPr>
          <w:rFonts w:cs="Arial"/>
          <w:color w:val="000000"/>
        </w:rPr>
        <w:t>The number of suppliers relates to all introductions from out with GB.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  <w:u w:val="single"/>
        </w:rPr>
      </w:pPr>
      <w:r w:rsidRPr="008A7041">
        <w:rPr>
          <w:rFonts w:cs="Arial"/>
          <w:color w:val="000000"/>
          <w:u w:val="single"/>
        </w:rPr>
        <w:lastRenderedPageBreak/>
        <w:t>Movements off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</w:rPr>
        <w:t xml:space="preserve">The number of movements of live shellfish off site to another site must be counted. 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</w:rPr>
        <w:t xml:space="preserve">The number of movements of live shellfish off to a site within the same management area should be entered for question 1. 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</w:rPr>
        <w:t xml:space="preserve">The number of movements of live shellfish off to a site in a different management area should be entered for question 2. 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</w:rPr>
        <w:t>The number of destinations relates to all movements off site.</w:t>
      </w:r>
    </w:p>
    <w:p w:rsidR="004E5E89" w:rsidRDefault="004E5E89" w:rsidP="004E5E89"/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  <w:u w:val="single"/>
        </w:rPr>
        <w:t>Management Practices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  <w:u w:val="single"/>
        </w:rPr>
        <w:t>Biosecurity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</w:rPr>
        <w:t xml:space="preserve">Contacts with other sites – indicate how many sites share the same shore base as the site being assessed. Also indicate how many sites sharing staff or equipment (irrespective of disinfection). 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</w:p>
    <w:p w:rsidR="004E5E89" w:rsidRDefault="004E5E89" w:rsidP="004E5E89">
      <w:pPr>
        <w:rPr>
          <w:rFonts w:cs="Arial"/>
          <w:color w:val="000000"/>
        </w:rPr>
      </w:pPr>
      <w:r w:rsidRPr="008A7041">
        <w:rPr>
          <w:rFonts w:cs="Arial"/>
          <w:color w:val="000000"/>
        </w:rPr>
        <w:t>Disinfection of equipment etc – indicate whether general on farm disinfection procedures are followed e.g. if equipment is moved between sites is it disinfected, are footbaths present etc.</w:t>
      </w:r>
    </w:p>
    <w:p w:rsidR="004E5E89" w:rsidRDefault="004E5E89" w:rsidP="004E5E89">
      <w:pPr>
        <w:rPr>
          <w:rFonts w:cs="Arial"/>
          <w:color w:val="000000"/>
        </w:rPr>
      </w:pPr>
    </w:p>
    <w:p w:rsidR="004E5E89" w:rsidRDefault="004E5E89" w:rsidP="004E5E89">
      <w:pPr>
        <w:rPr>
          <w:rFonts w:cs="Arial"/>
          <w:b/>
          <w:color w:val="000000"/>
        </w:rPr>
      </w:pPr>
      <w:r w:rsidRPr="008A7041">
        <w:rPr>
          <w:rFonts w:cs="Arial"/>
          <w:b/>
          <w:color w:val="000000"/>
        </w:rPr>
        <w:t>Surveillance Frequency category allocation</w:t>
      </w:r>
    </w:p>
    <w:p w:rsidR="004E5E89" w:rsidRDefault="004E5E89" w:rsidP="004E5E89">
      <w:pPr>
        <w:rPr>
          <w:rFonts w:cs="Arial"/>
          <w:b/>
          <w:color w:val="000000"/>
        </w:rPr>
      </w:pP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</w:rPr>
        <w:t>Once the surveillance frequency assessment has been completed the total score for the site should be calculated.</w:t>
      </w:r>
    </w:p>
    <w:p w:rsidR="004E5E89" w:rsidRDefault="004E5E89" w:rsidP="004E5E89"/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</w:rPr>
        <w:t>Low – 0 -15.5</w:t>
      </w:r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</w:rPr>
        <w:t>Medium – 16 – 29</w:t>
      </w:r>
      <w:bookmarkStart w:id="0" w:name="_GoBack"/>
      <w:bookmarkEnd w:id="0"/>
    </w:p>
    <w:p w:rsidR="004E5E89" w:rsidRPr="008A7041" w:rsidRDefault="004E5E89" w:rsidP="004E5E89">
      <w:pPr>
        <w:tabs>
          <w:tab w:val="left" w:pos="0"/>
          <w:tab w:val="left" w:pos="684"/>
        </w:tabs>
        <w:rPr>
          <w:rFonts w:cs="Arial"/>
          <w:color w:val="000000"/>
        </w:rPr>
      </w:pPr>
      <w:r w:rsidRPr="008A7041">
        <w:rPr>
          <w:rFonts w:cs="Arial"/>
          <w:color w:val="000000"/>
        </w:rPr>
        <w:t>High – 30 – 100</w:t>
      </w:r>
    </w:p>
    <w:p w:rsidR="004E5E89" w:rsidRDefault="004E5E89" w:rsidP="004E5E89"/>
    <w:sectPr w:rsidR="004E5E89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1C" w:rsidRDefault="001E2C1C">
      <w:pPr>
        <w:spacing w:line="240" w:lineRule="auto"/>
      </w:pPr>
      <w:r>
        <w:separator/>
      </w:r>
    </w:p>
  </w:endnote>
  <w:endnote w:type="continuationSeparator" w:id="0">
    <w:p w:rsidR="001E2C1C" w:rsidRDefault="001E2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1C" w:rsidRDefault="001E2C1C">
      <w:pPr>
        <w:spacing w:line="240" w:lineRule="auto"/>
      </w:pPr>
      <w:r>
        <w:separator/>
      </w:r>
    </w:p>
  </w:footnote>
  <w:footnote w:type="continuationSeparator" w:id="0">
    <w:p w:rsidR="001E2C1C" w:rsidRDefault="001E2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1C"/>
    <w:rsid w:val="00100021"/>
    <w:rsid w:val="001267F7"/>
    <w:rsid w:val="00157346"/>
    <w:rsid w:val="00192DC7"/>
    <w:rsid w:val="001E2C1C"/>
    <w:rsid w:val="002F3688"/>
    <w:rsid w:val="0031700A"/>
    <w:rsid w:val="003F2479"/>
    <w:rsid w:val="00411FC4"/>
    <w:rsid w:val="004E5E89"/>
    <w:rsid w:val="0067486A"/>
    <w:rsid w:val="006D26F7"/>
    <w:rsid w:val="00952710"/>
    <w:rsid w:val="009F71B8"/>
    <w:rsid w:val="00A17EF9"/>
    <w:rsid w:val="00A56EBA"/>
    <w:rsid w:val="00A90A53"/>
    <w:rsid w:val="00AB54FF"/>
    <w:rsid w:val="00AC310B"/>
    <w:rsid w:val="00AE01CB"/>
    <w:rsid w:val="00C86FBA"/>
    <w:rsid w:val="00E3599D"/>
    <w:rsid w:val="00E36759"/>
    <w:rsid w:val="00F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47E0B222</Template>
  <TotalTime>11</TotalTime>
  <Pages>2</Pages>
  <Words>528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2016-01-05T15:12:00Z</dcterms:created>
  <dcterms:modified xsi:type="dcterms:W3CDTF">2016-01-05T16:28:00Z</dcterms:modified>
  <cp:revision>1</cp:revision>
</cp:coreProperties>
</file>